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84"/>
          <w:szCs w:val="84"/>
        </w:rPr>
      </w:pPr>
    </w:p>
    <w:p>
      <w:pPr>
        <w:pStyle w:val="9"/>
        <w:jc w:val="center"/>
        <w:rPr>
          <w:rFonts w:hint="default" w:ascii="Times New Roman" w:hAnsi="Times New Roman" w:cs="Times New Roman"/>
          <w:color w:val="auto"/>
          <w:sz w:val="84"/>
          <w:szCs w:val="84"/>
        </w:rPr>
      </w:pPr>
    </w:p>
    <w:p>
      <w:pPr>
        <w:pStyle w:val="9"/>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rPr>
        <w:t>2020年度</w:t>
      </w:r>
    </w:p>
    <w:p>
      <w:pPr>
        <w:pStyle w:val="9"/>
        <w:jc w:val="center"/>
        <w:rPr>
          <w:rFonts w:hint="default" w:ascii="Times New Roman" w:hAnsi="Times New Roman" w:cs="Times New Roman"/>
          <w:color w:val="auto"/>
          <w:sz w:val="84"/>
          <w:szCs w:val="84"/>
        </w:rPr>
      </w:pPr>
      <w:r>
        <w:rPr>
          <w:rFonts w:hint="default" w:ascii="Times New Roman" w:hAnsi="Times New Roman" w:cs="Times New Roman"/>
          <w:color w:val="auto"/>
          <w:sz w:val="84"/>
          <w:szCs w:val="84"/>
          <w:lang w:val="en-US" w:eastAsia="zh-CN"/>
        </w:rPr>
        <w:t>湖南广播电视网络传输中心</w:t>
      </w:r>
      <w:r>
        <w:rPr>
          <w:rFonts w:hint="default" w:ascii="Times New Roman" w:hAnsi="Times New Roman" w:cs="Times New Roman"/>
          <w:color w:val="auto"/>
          <w:sz w:val="84"/>
          <w:szCs w:val="84"/>
        </w:rPr>
        <w:t>部门决算</w:t>
      </w:r>
    </w:p>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56"/>
          <w:szCs w:val="56"/>
        </w:rPr>
      </w:pPr>
    </w:p>
    <w:p>
      <w:pPr>
        <w:pStyle w:val="9"/>
        <w:jc w:val="center"/>
        <w:rPr>
          <w:rFonts w:hint="default" w:ascii="Times New Roman" w:hAnsi="Times New Roman" w:cs="Times New Roman"/>
          <w:color w:val="auto"/>
          <w:sz w:val="32"/>
          <w:szCs w:val="32"/>
        </w:rPr>
      </w:pPr>
    </w:p>
    <w:p>
      <w:pPr>
        <w:pStyle w:val="9"/>
        <w:jc w:val="center"/>
        <w:rPr>
          <w:rFonts w:hint="default" w:ascii="Times New Roman" w:hAnsi="Times New Roman" w:cs="Times New Roman"/>
          <w:color w:val="auto"/>
          <w:sz w:val="32"/>
          <w:szCs w:val="32"/>
        </w:rPr>
      </w:pPr>
    </w:p>
    <w:p>
      <w:pPr>
        <w:pStyle w:val="9"/>
        <w:jc w:val="center"/>
        <w:rPr>
          <w:rFonts w:hint="default" w:ascii="Times New Roman" w:hAnsi="Times New Roman" w:cs="Times New Roman"/>
          <w:color w:val="auto"/>
          <w:sz w:val="32"/>
          <w:szCs w:val="32"/>
        </w:rPr>
      </w:pPr>
    </w:p>
    <w:p>
      <w:pPr>
        <w:pStyle w:val="9"/>
        <w:spacing w:line="500" w:lineRule="exact"/>
        <w:jc w:val="center"/>
        <w:rPr>
          <w:rFonts w:hint="default" w:ascii="Times New Roman" w:hAnsi="Times New Roman" w:cs="Times New Roman"/>
          <w:b/>
          <w:color w:val="auto"/>
          <w:sz w:val="36"/>
          <w:szCs w:val="28"/>
        </w:rPr>
      </w:pPr>
      <w:r>
        <w:rPr>
          <w:rFonts w:hint="default" w:ascii="Times New Roman" w:hAnsi="Times New Roman" w:cs="Times New Roman"/>
          <w:b/>
          <w:color w:val="auto"/>
          <w:sz w:val="36"/>
          <w:szCs w:val="28"/>
        </w:rPr>
        <w:t>目录</w:t>
      </w:r>
    </w:p>
    <w:p>
      <w:pPr>
        <w:pStyle w:val="9"/>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第一部分</w:t>
      </w:r>
      <w:r>
        <w:rPr>
          <w:rFonts w:hint="default" w:ascii="Times New Roman" w:hAnsi="Times New Roman" w:cs="Times New Roman"/>
          <w:b/>
          <w:color w:val="auto"/>
          <w:sz w:val="28"/>
          <w:szCs w:val="28"/>
          <w:lang w:val="en-US" w:eastAsia="zh-CN"/>
        </w:rPr>
        <w:t xml:space="preserve"> 湖南广播电视网络传输中心</w:t>
      </w:r>
      <w:r>
        <w:rPr>
          <w:rFonts w:hint="default" w:ascii="Times New Roman" w:hAnsi="Times New Roman" w:cs="Times New Roman"/>
          <w:b/>
          <w:color w:val="auto"/>
          <w:sz w:val="28"/>
          <w:szCs w:val="28"/>
        </w:rPr>
        <w:t>单位概况单位概况</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一、部门职责</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二、机构设置</w:t>
      </w:r>
    </w:p>
    <w:p>
      <w:pPr>
        <w:pStyle w:val="9"/>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第二部分</w:t>
      </w:r>
      <w:r>
        <w:rPr>
          <w:rFonts w:hint="default" w:ascii="Times New Roman" w:hAnsi="Times New Roman" w:cs="Times New Roman"/>
          <w:b/>
          <w:color w:val="auto"/>
          <w:sz w:val="28"/>
          <w:szCs w:val="28"/>
          <w:lang w:val="en-US" w:eastAsia="zh-CN"/>
        </w:rPr>
        <w:t xml:space="preserve"> </w:t>
      </w:r>
      <w:r>
        <w:rPr>
          <w:rFonts w:hint="default" w:ascii="Times New Roman" w:hAnsi="Times New Roman" w:cs="Times New Roman"/>
          <w:b/>
          <w:color w:val="auto"/>
          <w:sz w:val="28"/>
          <w:szCs w:val="28"/>
        </w:rPr>
        <w:t>2020年度部门决算表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二、收入决算表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三、支出决算表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四、财政拨款收入支出决算总表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五、一般公共预算财政拨款支出决算表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六、一般公共预算财政拨款基本支出决算表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七、一般公共预算财政拨款“三公”经费支出决算表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八、政府性基金预算财政拨款收入支出决算表</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九、国有资本经营预算财政拨款支出决算表</w:t>
      </w:r>
    </w:p>
    <w:p>
      <w:pPr>
        <w:pStyle w:val="9"/>
        <w:spacing w:line="500" w:lineRule="exact"/>
        <w:rPr>
          <w:rFonts w:hint="default" w:ascii="Times New Roman" w:hAnsi="Times New Roman" w:cs="Times New Roman"/>
          <w:b/>
          <w:color w:val="auto"/>
          <w:sz w:val="28"/>
          <w:szCs w:val="28"/>
        </w:rPr>
      </w:pPr>
      <w:r>
        <w:rPr>
          <w:rFonts w:hint="default" w:ascii="Times New Roman" w:hAnsi="Times New Roman" w:cs="Times New Roman"/>
          <w:b/>
          <w:color w:val="auto"/>
          <w:sz w:val="28"/>
          <w:szCs w:val="28"/>
        </w:rPr>
        <w:t>第三部分</w:t>
      </w:r>
      <w:r>
        <w:rPr>
          <w:rFonts w:hint="default" w:ascii="Times New Roman" w:hAnsi="Times New Roman" w:cs="Times New Roman"/>
          <w:b/>
          <w:color w:val="auto"/>
          <w:sz w:val="28"/>
          <w:szCs w:val="28"/>
          <w:lang w:val="en-US" w:eastAsia="zh-CN"/>
        </w:rPr>
        <w:t xml:space="preserve"> </w:t>
      </w:r>
      <w:r>
        <w:rPr>
          <w:rFonts w:hint="default" w:ascii="Times New Roman" w:hAnsi="Times New Roman" w:cs="Times New Roman"/>
          <w:b/>
          <w:color w:val="auto"/>
          <w:sz w:val="28"/>
          <w:szCs w:val="28"/>
        </w:rPr>
        <w:t>2020年度部门决算情况说明</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一、收入支出决算总体情况说明</w:t>
      </w:r>
    </w:p>
    <w:p>
      <w:pPr>
        <w:spacing w:line="500" w:lineRule="exact"/>
        <w:ind w:firstLine="707" w:firstLineChars="250"/>
        <w:jc w:val="left"/>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二、收入决算情况说明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三、支出决算情况说明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四、财政拨款收入支出决算总体情况说明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五、一般公共预算财政拨款支出决算情况说明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六、一般公共预算财政拨款基本支出决算情况说明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七、一般公共预算财政拨款三公经费支出决算情况说明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八、政府性基金预算收入支出决算情况</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九、关于机关运行经费支出说明</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十、一般性支出情况</w:t>
      </w:r>
    </w:p>
    <w:p>
      <w:pPr>
        <w:autoSpaceDE w:val="0"/>
        <w:autoSpaceDN w:val="0"/>
        <w:adjustRightInd w:val="0"/>
        <w:spacing w:line="500" w:lineRule="exact"/>
        <w:ind w:firstLine="707" w:firstLineChars="250"/>
        <w:jc w:val="left"/>
        <w:rPr>
          <w:rFonts w:hint="default" w:ascii="Times New Roman" w:hAnsi="Times New Roman" w:cs="Times New Roman"/>
          <w:color w:val="auto"/>
          <w:kern w:val="0"/>
          <w:sz w:val="28"/>
          <w:szCs w:val="28"/>
        </w:rPr>
      </w:pPr>
      <w:r>
        <w:rPr>
          <w:rFonts w:hint="default" w:ascii="Times New Roman" w:hAnsi="Times New Roman" w:cs="Times New Roman"/>
          <w:color w:val="auto"/>
          <w:kern w:val="0"/>
          <w:sz w:val="28"/>
          <w:szCs w:val="28"/>
        </w:rPr>
        <w:t>十一、关于政府采购支出说明</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十二、关于国有资产占用情况说明</w:t>
      </w:r>
    </w:p>
    <w:p>
      <w:pPr>
        <w:pStyle w:val="9"/>
        <w:spacing w:line="500" w:lineRule="exact"/>
        <w:ind w:firstLine="707" w:firstLineChars="250"/>
        <w:rPr>
          <w:rFonts w:hint="default" w:ascii="Times New Roman" w:hAnsi="Times New Roman" w:cs="Times New Roman" w:eastAsiaTheme="minorEastAsia"/>
          <w:color w:val="auto"/>
          <w:sz w:val="28"/>
          <w:szCs w:val="28"/>
        </w:rPr>
      </w:pPr>
      <w:r>
        <w:rPr>
          <w:rFonts w:hint="default" w:ascii="Times New Roman" w:hAnsi="Times New Roman" w:cs="Times New Roman" w:eastAsiaTheme="minorEastAsia"/>
          <w:color w:val="auto"/>
          <w:sz w:val="28"/>
          <w:szCs w:val="28"/>
        </w:rPr>
        <w:t>十三、关于2020年度预算绩效情况的说明</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第四部分</w:t>
      </w:r>
      <w:r>
        <w:rPr>
          <w:rFonts w:hint="default" w:ascii="Times New Roman" w:hAnsi="Times New Roman" w:eastAsia="黑体" w:cs="Times New Roman"/>
          <w:b/>
          <w:color w:val="auto"/>
          <w:kern w:val="0"/>
          <w:sz w:val="28"/>
          <w:szCs w:val="28"/>
          <w:lang w:val="en-US" w:eastAsia="zh-CN"/>
        </w:rPr>
        <w:t xml:space="preserve"> </w:t>
      </w:r>
      <w:r>
        <w:rPr>
          <w:rFonts w:hint="default" w:ascii="Times New Roman" w:hAnsi="Times New Roman" w:eastAsia="黑体" w:cs="Times New Roman"/>
          <w:b/>
          <w:color w:val="auto"/>
          <w:kern w:val="0"/>
          <w:sz w:val="28"/>
          <w:szCs w:val="28"/>
        </w:rPr>
        <w:t>名词解释</w:t>
      </w:r>
    </w:p>
    <w:p>
      <w:pPr>
        <w:autoSpaceDE w:val="0"/>
        <w:autoSpaceDN w:val="0"/>
        <w:adjustRightInd w:val="0"/>
        <w:spacing w:line="500" w:lineRule="exact"/>
        <w:jc w:val="left"/>
        <w:rPr>
          <w:rFonts w:hint="default" w:ascii="Times New Roman" w:hAnsi="Times New Roman" w:eastAsia="黑体" w:cs="Times New Roman"/>
          <w:b/>
          <w:color w:val="auto"/>
          <w:kern w:val="0"/>
          <w:sz w:val="28"/>
          <w:szCs w:val="28"/>
        </w:rPr>
      </w:pPr>
      <w:r>
        <w:rPr>
          <w:rFonts w:hint="default" w:ascii="Times New Roman" w:hAnsi="Times New Roman" w:eastAsia="黑体" w:cs="Times New Roman"/>
          <w:b/>
          <w:color w:val="auto"/>
          <w:kern w:val="0"/>
          <w:sz w:val="28"/>
          <w:szCs w:val="28"/>
        </w:rPr>
        <w:t>第五部分</w:t>
      </w:r>
      <w:r>
        <w:rPr>
          <w:rFonts w:hint="default" w:ascii="Times New Roman" w:hAnsi="Times New Roman" w:eastAsia="黑体" w:cs="Times New Roman"/>
          <w:b/>
          <w:color w:val="auto"/>
          <w:kern w:val="0"/>
          <w:sz w:val="28"/>
          <w:szCs w:val="28"/>
          <w:lang w:val="en-US" w:eastAsia="zh-CN"/>
        </w:rPr>
        <w:t xml:space="preserve"> </w:t>
      </w:r>
      <w:r>
        <w:rPr>
          <w:rFonts w:hint="default" w:ascii="Times New Roman" w:hAnsi="Times New Roman" w:eastAsia="黑体" w:cs="Times New Roman"/>
          <w:b/>
          <w:color w:val="auto"/>
          <w:kern w:val="0"/>
          <w:sz w:val="28"/>
          <w:szCs w:val="28"/>
        </w:rPr>
        <w:t>附件</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84"/>
          <w:szCs w:val="84"/>
        </w:rPr>
      </w:pPr>
    </w:p>
    <w:p>
      <w:pPr>
        <w:pStyle w:val="9"/>
        <w:jc w:val="center"/>
        <w:rPr>
          <w:rFonts w:hint="default" w:ascii="Times New Roman" w:hAnsi="Times New Roman" w:cs="Times New Roman"/>
          <w:color w:val="auto"/>
          <w:sz w:val="84"/>
          <w:szCs w:val="84"/>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 xml:space="preserve">第一部分 </w:t>
      </w: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84"/>
          <w:szCs w:val="84"/>
        </w:rPr>
      </w:pPr>
      <w:r>
        <w:rPr>
          <w:rFonts w:hint="default" w:ascii="Times New Roman" w:hAnsi="Times New Roman" w:cs="Times New Roman"/>
          <w:color w:val="auto"/>
          <w:sz w:val="72"/>
          <w:szCs w:val="72"/>
          <w:lang w:val="en-US" w:eastAsia="zh-CN"/>
        </w:rPr>
        <w:t>湖南广播电视网络传输中心</w:t>
      </w:r>
      <w:r>
        <w:rPr>
          <w:rFonts w:hint="default" w:ascii="Times New Roman" w:hAnsi="Times New Roman" w:cs="Times New Roman"/>
          <w:color w:val="auto"/>
          <w:sz w:val="72"/>
          <w:szCs w:val="72"/>
        </w:rPr>
        <w:t>概况</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pStyle w:val="10"/>
        <w:ind w:left="720" w:firstLine="0" w:firstLineChars="0"/>
        <w:jc w:val="left"/>
        <w:rPr>
          <w:rFonts w:hint="default" w:ascii="Times New Roman" w:hAnsi="Times New Roman" w:eastAsia="黑体" w:cs="Times New Roman"/>
          <w:color w:val="auto"/>
          <w:sz w:val="32"/>
          <w:szCs w:val="32"/>
        </w:rPr>
      </w:pPr>
    </w:p>
    <w:p>
      <w:pPr>
        <w:pStyle w:val="10"/>
        <w:ind w:left="720" w:firstLine="0" w:firstLineChars="0"/>
        <w:jc w:val="left"/>
        <w:rPr>
          <w:rFonts w:hint="default" w:ascii="Times New Roman" w:hAnsi="Times New Roman" w:eastAsia="黑体" w:cs="Times New Roman"/>
          <w:color w:val="auto"/>
          <w:sz w:val="32"/>
          <w:szCs w:val="32"/>
        </w:rPr>
      </w:pPr>
    </w:p>
    <w:p>
      <w:pPr>
        <w:pStyle w:val="10"/>
        <w:ind w:left="720" w:firstLine="0" w:firstLineChars="0"/>
        <w:jc w:val="left"/>
        <w:rPr>
          <w:rFonts w:hint="default" w:ascii="Times New Roman" w:hAnsi="Times New Roman" w:eastAsia="黑体" w:cs="Times New Roman"/>
          <w:color w:val="auto"/>
          <w:sz w:val="32"/>
          <w:szCs w:val="32"/>
        </w:rPr>
      </w:pPr>
    </w:p>
    <w:p>
      <w:pPr>
        <w:pStyle w:val="10"/>
        <w:ind w:left="720" w:firstLine="0" w:firstLineChars="0"/>
        <w:jc w:val="left"/>
        <w:rPr>
          <w:rFonts w:hint="default" w:ascii="Times New Roman" w:hAnsi="Times New Roman" w:eastAsia="黑体" w:cs="Times New Roman"/>
          <w:color w:val="auto"/>
          <w:sz w:val="32"/>
          <w:szCs w:val="32"/>
        </w:rPr>
      </w:pPr>
    </w:p>
    <w:p>
      <w:pPr>
        <w:pStyle w:val="10"/>
        <w:numPr>
          <w:ilvl w:val="0"/>
          <w:numId w:val="1"/>
        </w:numPr>
        <w:ind w:firstLineChars="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部门职责</w:t>
      </w:r>
    </w:p>
    <w:p>
      <w:pPr>
        <w:widowControl/>
        <w:spacing w:line="600" w:lineRule="exact"/>
        <w:ind w:firstLine="646" w:firstLineChars="200"/>
        <w:rPr>
          <w:rFonts w:hint="default" w:ascii="Times New Roman" w:hAnsi="Times New Roman" w:eastAsia="仿宋" w:cs="Times New Roman"/>
          <w:bCs/>
          <w:color w:val="auto"/>
          <w:kern w:val="0"/>
          <w:sz w:val="32"/>
          <w:szCs w:val="32"/>
          <w:lang w:val="en-US" w:eastAsia="zh-CN"/>
        </w:rPr>
      </w:pPr>
      <w:r>
        <w:rPr>
          <w:rFonts w:hint="default" w:ascii="Times New Roman" w:hAnsi="Times New Roman" w:eastAsia="仿宋" w:cs="Times New Roman"/>
          <w:bCs/>
          <w:color w:val="auto"/>
          <w:kern w:val="0"/>
          <w:sz w:val="32"/>
          <w:szCs w:val="32"/>
          <w:lang w:val="en-US" w:eastAsia="zh-CN"/>
        </w:rPr>
        <w:t>湖南广播电视网络传输中心于1995年经省编办批准注册成立，系湖南省广播电视局公益二类差额拨款事业单位，我单位主要职责有以下几项：负责对全省有线数字电视网络监管平台的运行和维护；负责湖南省农村电影监管平台的运行和维护；负责局门户网站和湖南农村电影网站、局机关有关网络的运行维护和技术服务工作；负责对广播电视科学技术、新业务进行跟踪研究。</w:t>
      </w:r>
    </w:p>
    <w:p>
      <w:pPr>
        <w:widowControl/>
        <w:spacing w:line="600" w:lineRule="exac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二、机构设置及决算单位构成</w:t>
      </w:r>
    </w:p>
    <w:p>
      <w:pPr>
        <w:widowControl/>
        <w:spacing w:line="600" w:lineRule="exact"/>
        <w:ind w:firstLine="646" w:firstLineChars="200"/>
        <w:rPr>
          <w:rFonts w:hint="default" w:ascii="Times New Roman" w:hAnsi="Times New Roman" w:eastAsia="仿宋" w:cs="Times New Roman"/>
          <w:bCs/>
          <w:color w:val="auto"/>
          <w:kern w:val="0"/>
          <w:sz w:val="32"/>
          <w:szCs w:val="32"/>
          <w:lang w:val="en-US" w:eastAsia="zh-CN"/>
        </w:rPr>
      </w:pPr>
      <w:r>
        <w:rPr>
          <w:rFonts w:hint="default" w:ascii="Times New Roman" w:hAnsi="Times New Roman" w:eastAsia="仿宋" w:cs="Times New Roman"/>
          <w:bCs/>
          <w:color w:val="auto"/>
          <w:kern w:val="0"/>
          <w:sz w:val="32"/>
          <w:szCs w:val="32"/>
        </w:rPr>
        <w:t>（一）内设机构设置。</w:t>
      </w:r>
      <w:r>
        <w:rPr>
          <w:rFonts w:hint="default" w:ascii="Times New Roman" w:hAnsi="Times New Roman" w:eastAsia="仿宋" w:cs="Times New Roman"/>
          <w:bCs/>
          <w:color w:val="auto"/>
          <w:kern w:val="0"/>
          <w:sz w:val="32"/>
          <w:szCs w:val="32"/>
          <w:lang w:val="en-US" w:eastAsia="zh-CN"/>
        </w:rPr>
        <w:t>湖南广播电视网络传输中心</w:t>
      </w:r>
      <w:r>
        <w:rPr>
          <w:rFonts w:hint="default" w:ascii="Times New Roman" w:hAnsi="Times New Roman" w:eastAsia="仿宋" w:cs="Times New Roman"/>
          <w:bCs/>
          <w:color w:val="auto"/>
          <w:kern w:val="0"/>
          <w:sz w:val="32"/>
          <w:szCs w:val="32"/>
        </w:rPr>
        <w:t>内设机构包括：</w:t>
      </w:r>
      <w:r>
        <w:rPr>
          <w:rFonts w:hint="default" w:ascii="Times New Roman" w:hAnsi="Times New Roman" w:eastAsia="仿宋" w:cs="Times New Roman"/>
          <w:bCs/>
          <w:color w:val="auto"/>
          <w:kern w:val="0"/>
          <w:sz w:val="32"/>
          <w:szCs w:val="32"/>
          <w:lang w:val="en-US" w:eastAsia="zh-CN"/>
        </w:rPr>
        <w:t>办公室、资产财务部、运行维护部、传输管理部、网络监管部、公益电影部、退休管理科。</w:t>
      </w:r>
    </w:p>
    <w:p>
      <w:pPr>
        <w:widowControl/>
        <w:spacing w:line="600" w:lineRule="exact"/>
        <w:ind w:firstLine="646" w:firstLineChars="200"/>
        <w:rPr>
          <w:rFonts w:hint="default" w:ascii="Times New Roman" w:hAnsi="Times New Roman" w:eastAsia="仿宋" w:cs="Times New Roman"/>
          <w:bCs/>
          <w:color w:val="auto"/>
          <w:kern w:val="0"/>
          <w:sz w:val="32"/>
          <w:szCs w:val="32"/>
        </w:rPr>
      </w:pPr>
      <w:r>
        <w:rPr>
          <w:rFonts w:hint="default" w:ascii="Times New Roman" w:hAnsi="Times New Roman" w:eastAsia="仿宋" w:cs="Times New Roman"/>
          <w:bCs/>
          <w:color w:val="auto"/>
          <w:kern w:val="0"/>
          <w:sz w:val="32"/>
          <w:szCs w:val="32"/>
        </w:rPr>
        <w:t>（二）决算单位构成。2020年部门决算汇总公开单位构成包括：</w:t>
      </w:r>
      <w:r>
        <w:rPr>
          <w:rFonts w:hint="default" w:ascii="Times New Roman" w:hAnsi="Times New Roman" w:eastAsia="仿宋" w:cs="Times New Roman"/>
          <w:bCs/>
          <w:color w:val="auto"/>
          <w:kern w:val="0"/>
          <w:sz w:val="32"/>
          <w:szCs w:val="32"/>
          <w:lang w:val="en-US" w:eastAsia="zh-CN"/>
        </w:rPr>
        <w:t>湖南广播电视网络传输中心</w:t>
      </w:r>
      <w:r>
        <w:rPr>
          <w:rFonts w:hint="default" w:ascii="Times New Roman" w:hAnsi="Times New Roman" w:eastAsia="仿宋" w:cs="Times New Roman"/>
          <w:bCs/>
          <w:color w:val="auto"/>
          <w:kern w:val="0"/>
          <w:sz w:val="32"/>
          <w:szCs w:val="32"/>
        </w:rPr>
        <w:t>单位本级</w:t>
      </w:r>
      <w:r>
        <w:rPr>
          <w:rFonts w:hint="default" w:ascii="Times New Roman" w:hAnsi="Times New Roman" w:eastAsia="仿宋" w:cs="Times New Roman"/>
          <w:bCs/>
          <w:color w:val="auto"/>
          <w:kern w:val="0"/>
          <w:sz w:val="32"/>
          <w:szCs w:val="32"/>
          <w:lang w:eastAsia="zh-CN"/>
        </w:rPr>
        <w:t>，</w:t>
      </w:r>
      <w:r>
        <w:rPr>
          <w:rFonts w:hint="default" w:ascii="Times New Roman" w:hAnsi="Times New Roman" w:eastAsia="仿宋" w:cs="Times New Roman"/>
          <w:bCs/>
          <w:color w:val="auto"/>
          <w:kern w:val="0"/>
          <w:sz w:val="32"/>
          <w:szCs w:val="32"/>
          <w:lang w:val="en-US" w:eastAsia="zh-CN"/>
        </w:rPr>
        <w:t>无下级单位。</w:t>
      </w:r>
    </w:p>
    <w:p>
      <w:pPr>
        <w:jc w:val="both"/>
        <w:rPr>
          <w:rFonts w:hint="default" w:ascii="Times New Roman" w:hAnsi="Times New Roman" w:eastAsia="黑体" w:cs="Times New Roman"/>
          <w:color w:val="auto"/>
          <w:sz w:val="32"/>
          <w:szCs w:val="32"/>
        </w:rPr>
        <w:sectPr>
          <w:pgSz w:w="11906" w:h="16838"/>
          <w:pgMar w:top="1440" w:right="1797" w:bottom="1440" w:left="1797" w:header="851" w:footer="992" w:gutter="0"/>
          <w:cols w:space="0" w:num="1"/>
          <w:rtlGutter w:val="0"/>
          <w:docGrid w:type="linesAndChars" w:linePitch="319" w:charSpace="640"/>
        </w:sect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eastAsia="黑体" w:cs="Times New Roman"/>
          <w:color w:val="auto"/>
          <w:sz w:val="28"/>
          <w:szCs w:val="28"/>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eastAsia="黑体" w:cs="Times New Roman"/>
          <w:color w:val="auto"/>
          <w:sz w:val="70"/>
          <w:szCs w:val="70"/>
        </w:rPr>
      </w:pPr>
      <w:r>
        <w:rPr>
          <w:rFonts w:hint="default" w:ascii="Times New Roman" w:hAnsi="Times New Roman" w:eastAsia="黑体" w:cs="Times New Roman"/>
          <w:color w:val="auto"/>
          <w:sz w:val="70"/>
          <w:szCs w:val="70"/>
        </w:rPr>
        <w:t>第二部分</w:t>
      </w:r>
    </w:p>
    <w:p>
      <w:pPr>
        <w:jc w:val="center"/>
        <w:rPr>
          <w:rFonts w:hint="default" w:ascii="Times New Roman" w:hAnsi="Times New Roman" w:eastAsia="黑体" w:cs="Times New Roman"/>
          <w:color w:val="auto"/>
          <w:sz w:val="70"/>
          <w:szCs w:val="70"/>
        </w:rPr>
      </w:pPr>
    </w:p>
    <w:p>
      <w:pPr>
        <w:jc w:val="center"/>
        <w:rPr>
          <w:rFonts w:hint="default" w:ascii="Times New Roman" w:hAnsi="Times New Roman" w:eastAsia="黑体" w:cs="Times New Roman"/>
          <w:color w:val="auto"/>
          <w:sz w:val="70"/>
          <w:szCs w:val="70"/>
        </w:rPr>
      </w:pPr>
      <w:r>
        <w:rPr>
          <w:rFonts w:hint="default" w:ascii="Times New Roman" w:hAnsi="Times New Roman" w:eastAsia="黑体" w:cs="Times New Roman"/>
          <w:color w:val="auto"/>
          <w:sz w:val="70"/>
          <w:szCs w:val="70"/>
        </w:rPr>
        <w:t>部门决算表</w:t>
      </w: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center"/>
        <w:rPr>
          <w:rFonts w:hint="default" w:ascii="Times New Roman" w:hAnsi="Times New Roman" w:cs="Times New Roman"/>
          <w:color w:val="auto"/>
          <w:sz w:val="72"/>
          <w:szCs w:val="72"/>
        </w:rPr>
      </w:pPr>
    </w:p>
    <w:p>
      <w:pPr>
        <w:jc w:val="left"/>
        <w:rPr>
          <w:rFonts w:hint="default" w:ascii="Times New Roman" w:hAnsi="Times New Roman" w:cs="Times New Roman"/>
          <w:color w:val="auto"/>
          <w:sz w:val="32"/>
          <w:szCs w:val="32"/>
        </w:rPr>
      </w:pPr>
    </w:p>
    <w:p>
      <w:pPr>
        <w:jc w:val="left"/>
        <w:rPr>
          <w:rFonts w:hint="default" w:ascii="Times New Roman" w:hAnsi="Times New Roman" w:cs="Times New Roman"/>
          <w:color w:val="auto"/>
          <w:sz w:val="32"/>
          <w:szCs w:val="32"/>
        </w:rPr>
        <w:sectPr>
          <w:pgSz w:w="11906" w:h="16838"/>
          <w:pgMar w:top="720" w:right="720" w:bottom="720" w:left="720" w:header="851" w:footer="992" w:gutter="0"/>
          <w:cols w:space="425" w:num="1"/>
          <w:docGrid w:type="lines" w:linePitch="312" w:charSpace="0"/>
        </w:sectPr>
      </w:pP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97"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r>
              <w:rPr>
                <w:rFonts w:hint="default" w:ascii="Times New Roman" w:hAnsi="Times New Roman" w:eastAsia="宋体" w:cs="Times New Roman"/>
                <w:color w:val="auto"/>
                <w:kern w:val="0"/>
                <w:sz w:val="20"/>
                <w:szCs w:val="20"/>
                <w:lang w:val="en-US" w:eastAsia="zh-CN"/>
              </w:rPr>
              <w:t>湖南广播电视网络传输中心</w:t>
            </w:r>
            <w:r>
              <w:rPr>
                <w:rFonts w:hint="default" w:ascii="Times New Roman" w:hAnsi="Times New Roman" w:eastAsia="宋体" w:cs="Times New Roman"/>
                <w:color w:val="auto"/>
                <w:kern w:val="0"/>
                <w:sz w:val="20"/>
                <w:szCs w:val="20"/>
              </w:rPr>
              <w:t xml:space="preserve"> </w:t>
            </w:r>
          </w:p>
        </w:tc>
        <w:tc>
          <w:tcPr>
            <w:tcW w:w="697"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32"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5773" w:type="dxa"/>
            <w:gridSpan w:val="3"/>
            <w:tcBorders>
              <w:top w:val="nil"/>
              <w:left w:val="nil"/>
              <w:bottom w:val="nil"/>
              <w:right w:val="nil"/>
            </w:tcBorders>
            <w:shd w:val="clear" w:color="000000" w:fill="FFFFFF"/>
            <w:vAlign w:val="center"/>
          </w:tcPr>
          <w:p>
            <w:pPr>
              <w:widowControl/>
              <w:jc w:val="both"/>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2020年度</w:t>
            </w:r>
            <w:r>
              <w:rPr>
                <w:rFonts w:hint="default" w:ascii="Times New Roman" w:hAnsi="Times New Roman" w:eastAsia="宋体" w:cs="Times New Roman"/>
                <w:color w:val="auto"/>
                <w:kern w:val="0"/>
                <w:sz w:val="24"/>
                <w:szCs w:val="24"/>
              </w:rPr>
              <w:t>　</w:t>
            </w:r>
          </w:p>
        </w:tc>
        <w:tc>
          <w:tcPr>
            <w:tcW w:w="657"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1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963.19</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四、上级补助收入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五、事业收入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六、经营收入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187.28</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六、科学技术支出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七、附属单位上缴收入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七、文化旅游体育与传媒支出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1047.33</w:t>
            </w: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八、其他收入</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r>
              <w:rPr>
                <w:rFonts w:hint="default" w:ascii="Times New Roman" w:hAnsi="Times New Roman" w:eastAsia="宋体" w:cs="Times New Roman"/>
                <w:color w:val="auto"/>
                <w:kern w:val="0"/>
                <w:sz w:val="22"/>
                <w:lang w:val="en-US" w:eastAsia="zh-CN"/>
              </w:rPr>
              <w:t>1.24</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t>八、社会保障和就业支出</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r>
              <w:rPr>
                <w:rFonts w:hint="default" w:ascii="Times New Roman" w:hAnsi="Times New Roman" w:eastAsia="宋体" w:cs="Times New Roman"/>
                <w:color w:val="auto"/>
                <w:kern w:val="0"/>
                <w:sz w:val="22"/>
                <w:lang w:val="en-US" w:eastAsia="zh-CN"/>
              </w:rPr>
              <w:t>41.00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1151.71</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r>
              <w:rPr>
                <w:rFonts w:hint="default" w:ascii="Times New Roman" w:hAnsi="Times New Roman" w:eastAsia="宋体" w:cs="Times New Roman"/>
                <w:color w:val="auto"/>
                <w:kern w:val="0"/>
                <w:sz w:val="22"/>
                <w:lang w:val="en-US" w:eastAsia="zh-CN"/>
              </w:rPr>
              <w:t>1088.33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133.75</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结余分配</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r>
              <w:rPr>
                <w:rFonts w:hint="default" w:ascii="Times New Roman" w:hAnsi="Times New Roman" w:eastAsia="宋体" w:cs="Times New Roman"/>
                <w:color w:val="auto"/>
                <w:kern w:val="0"/>
                <w:sz w:val="22"/>
                <w:lang w:val="en-US" w:eastAsia="zh-CN"/>
              </w:rPr>
              <w:t>121.64</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19.58</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r>
              <w:rPr>
                <w:rFonts w:hint="default" w:ascii="Times New Roman" w:hAnsi="Times New Roman" w:eastAsia="宋体" w:cs="Times New Roman"/>
                <w:color w:val="auto"/>
                <w:kern w:val="0"/>
                <w:sz w:val="22"/>
                <w:lang w:val="en-US" w:eastAsia="zh-CN"/>
              </w:rPr>
              <w:t>95.06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449"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1230" w:type="dxa"/>
            <w:gridSpan w:val="2"/>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t>1305.04</w:t>
            </w:r>
            <w:r>
              <w:rPr>
                <w:rFonts w:hint="default" w:ascii="Times New Roman" w:hAnsi="Times New Roman" w:eastAsia="宋体" w:cs="Times New Roman"/>
                <w:color w:val="auto"/>
                <w:kern w:val="0"/>
                <w:sz w:val="22"/>
              </w:rPr>
              <w:t>　</w:t>
            </w:r>
          </w:p>
        </w:tc>
        <w:tc>
          <w:tcPr>
            <w:tcW w:w="3798" w:type="dxa"/>
            <w:gridSpan w:val="3"/>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84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3633" w:type="dxa"/>
            <w:gridSpan w:val="3"/>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b/>
                <w:bCs/>
                <w:color w:val="auto"/>
                <w:kern w:val="0"/>
                <w:sz w:val="22"/>
              </w:rPr>
            </w:pPr>
            <w:r>
              <w:rPr>
                <w:rFonts w:hint="default" w:ascii="Times New Roman" w:hAnsi="Times New Roman" w:eastAsia="宋体" w:cs="Times New Roman"/>
                <w:b w:val="0"/>
                <w:bCs w:val="0"/>
                <w:color w:val="auto"/>
                <w:kern w:val="0"/>
                <w:sz w:val="22"/>
              </w:rPr>
              <w:t>　</w:t>
            </w:r>
            <w:r>
              <w:rPr>
                <w:rFonts w:hint="default" w:ascii="Times New Roman" w:hAnsi="Times New Roman" w:eastAsia="宋体" w:cs="Times New Roman"/>
                <w:b w:val="0"/>
                <w:bCs w:val="0"/>
                <w:color w:val="auto"/>
                <w:kern w:val="0"/>
                <w:sz w:val="22"/>
                <w:lang w:val="en-US" w:eastAsia="zh-CN"/>
              </w:rPr>
              <w:t>1305.04</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注：1.本表反映部门本年度的总收支和年末结转结余情况。</w:t>
            </w:r>
            <w:r>
              <w:rPr>
                <w:rFonts w:hint="default" w:ascii="Times New Roman" w:hAnsi="Times New Roman" w:eastAsia="宋体" w:cs="Times New Roman"/>
                <w:color w:val="auto"/>
                <w:kern w:val="0"/>
                <w:sz w:val="24"/>
                <w:szCs w:val="24"/>
              </w:rPr>
              <w:br w:type="textWrapping"/>
            </w:r>
            <w:r>
              <w:rPr>
                <w:rFonts w:hint="default" w:ascii="Times New Roman" w:hAnsi="Times New Roman" w:eastAsia="宋体" w:cs="Times New Roman"/>
                <w:color w:val="auto"/>
                <w:kern w:val="0"/>
                <w:sz w:val="24"/>
                <w:szCs w:val="24"/>
              </w:rPr>
              <w:t xml:space="preserve"> 2.本套报表金额单位转换时可能存在尾数误差。</w:t>
            </w:r>
          </w:p>
        </w:tc>
      </w:tr>
    </w:tbl>
    <w:p>
      <w:pPr>
        <w:jc w:val="center"/>
        <w:rPr>
          <w:rFonts w:hint="default" w:ascii="Times New Roman" w:hAnsi="Times New Roman" w:eastAsia="黑体" w:cs="Times New Roman"/>
          <w:color w:val="auto"/>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400" w:type="dxa"/>
        <w:tblInd w:w="0" w:type="dxa"/>
        <w:tblLayout w:type="fixed"/>
        <w:tblCellMar>
          <w:top w:w="0" w:type="dxa"/>
          <w:left w:w="0" w:type="dxa"/>
          <w:bottom w:w="0" w:type="dxa"/>
          <w:right w:w="0" w:type="dxa"/>
        </w:tblCellMar>
      </w:tblPr>
      <w:tblGrid>
        <w:gridCol w:w="315"/>
        <w:gridCol w:w="315"/>
        <w:gridCol w:w="221"/>
        <w:gridCol w:w="1149"/>
        <w:gridCol w:w="614"/>
        <w:gridCol w:w="1612"/>
        <w:gridCol w:w="1650"/>
        <w:gridCol w:w="1137"/>
        <w:gridCol w:w="532"/>
        <w:gridCol w:w="1613"/>
        <w:gridCol w:w="1687"/>
        <w:gridCol w:w="1819"/>
        <w:gridCol w:w="1736"/>
      </w:tblGrid>
      <w:tr>
        <w:tblPrEx>
          <w:tblCellMar>
            <w:top w:w="0" w:type="dxa"/>
            <w:left w:w="0" w:type="dxa"/>
            <w:bottom w:w="0" w:type="dxa"/>
            <w:right w:w="0" w:type="dxa"/>
          </w:tblCellMar>
        </w:tblPrEx>
        <w:trPr>
          <w:trHeight w:val="43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jc w:val="center"/>
              <w:rPr>
                <w:rFonts w:hint="default" w:ascii="Times New Roman" w:hAnsi="Times New Roman" w:eastAsia="华文中宋" w:cs="Times New Roman"/>
                <w:color w:val="auto"/>
                <w:sz w:val="32"/>
                <w:szCs w:val="32"/>
              </w:rPr>
            </w:pPr>
            <w:r>
              <w:rPr>
                <w:rFonts w:hint="default" w:ascii="Times New Roman" w:hAnsi="Times New Roman" w:eastAsia="华文中宋" w:cs="Times New Roman"/>
                <w:color w:val="auto"/>
                <w:sz w:val="32"/>
                <w:szCs w:val="32"/>
              </w:rPr>
              <w:t>收入决算表</w:t>
            </w:r>
          </w:p>
        </w:tc>
      </w:tr>
      <w:tr>
        <w:tblPrEx>
          <w:tblCellMar>
            <w:top w:w="0" w:type="dxa"/>
            <w:left w:w="0" w:type="dxa"/>
            <w:bottom w:w="0" w:type="dxa"/>
            <w:right w:w="0" w:type="dxa"/>
          </w:tblCellMar>
        </w:tblPrEx>
        <w:trPr>
          <w:trHeight w:val="285" w:hRule="atLeast"/>
        </w:trPr>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315"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370"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2226"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65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13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2145" w:type="dxa"/>
            <w:gridSpan w:val="2"/>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6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73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公开02表</w:t>
            </w:r>
          </w:p>
        </w:tc>
      </w:tr>
      <w:tr>
        <w:tblPrEx>
          <w:tblCellMar>
            <w:top w:w="0" w:type="dxa"/>
            <w:left w:w="0" w:type="dxa"/>
            <w:bottom w:w="0" w:type="dxa"/>
            <w:right w:w="0" w:type="dxa"/>
          </w:tblCellMar>
        </w:tblPrEx>
        <w:trPr>
          <w:trHeight w:val="285" w:hRule="atLeast"/>
        </w:trPr>
        <w:tc>
          <w:tcPr>
            <w:tcW w:w="630" w:type="dxa"/>
            <w:gridSpan w:val="2"/>
            <w:tcBorders>
              <w:top w:val="nil"/>
              <w:left w:val="nil"/>
              <w:bottom w:val="nil"/>
              <w:right w:val="nil"/>
            </w:tcBorders>
            <w:shd w:val="clear" w:color="000000" w:fill="FFFFFF"/>
            <w:tcMar>
              <w:top w:w="15" w:type="dxa"/>
              <w:left w:w="15" w:type="dxa"/>
              <w:bottom w:w="0" w:type="dxa"/>
              <w:right w:w="15" w:type="dxa"/>
            </w:tcMar>
            <w:vAlign w:val="center"/>
          </w:tcPr>
          <w:p>
            <w:pPr>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部门：</w:t>
            </w:r>
          </w:p>
        </w:tc>
        <w:tc>
          <w:tcPr>
            <w:tcW w:w="3596" w:type="dxa"/>
            <w:gridSpan w:val="4"/>
            <w:tcBorders>
              <w:top w:val="nil"/>
              <w:left w:val="nil"/>
              <w:bottom w:val="nil"/>
              <w:right w:val="nil"/>
            </w:tcBorders>
            <w:shd w:val="clear" w:color="000000" w:fill="FFFFFF"/>
            <w:tcMar>
              <w:top w:w="15" w:type="dxa"/>
              <w:left w:w="15" w:type="dxa"/>
              <w:bottom w:w="0" w:type="dxa"/>
              <w:right w:w="15" w:type="dxa"/>
            </w:tcMar>
            <w:vAlign w:val="center"/>
          </w:tcPr>
          <w:p>
            <w:pPr>
              <w:jc w:val="both"/>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湖南广播电视网络传输中心</w:t>
            </w:r>
            <w:r>
              <w:rPr>
                <w:rFonts w:hint="default" w:ascii="Times New Roman" w:hAnsi="Times New Roman" w:cs="Times New Roman"/>
                <w:color w:val="auto"/>
              </w:rPr>
              <w:t>　　</w:t>
            </w:r>
          </w:p>
        </w:tc>
        <w:tc>
          <w:tcPr>
            <w:tcW w:w="1650"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3282" w:type="dxa"/>
            <w:gridSpan w:val="3"/>
            <w:tcBorders>
              <w:top w:val="nil"/>
              <w:left w:val="nil"/>
              <w:bottom w:val="nil"/>
              <w:right w:val="nil"/>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lang w:val="en-US" w:eastAsia="zh-CN"/>
              </w:rPr>
            </w:pPr>
            <w:r>
              <w:rPr>
                <w:rFonts w:hint="default" w:ascii="Times New Roman" w:hAnsi="Times New Roman" w:eastAsia="宋体" w:cs="Times New Roman"/>
                <w:color w:val="auto"/>
                <w:sz w:val="20"/>
                <w:szCs w:val="20"/>
                <w:lang w:val="en-US" w:eastAsia="zh-CN"/>
              </w:rPr>
              <w:t>2020年度</w:t>
            </w:r>
          </w:p>
        </w:tc>
        <w:tc>
          <w:tcPr>
            <w:tcW w:w="1687"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819"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rPr>
              <w:t>　</w:t>
            </w:r>
          </w:p>
        </w:tc>
        <w:tc>
          <w:tcPr>
            <w:tcW w:w="1736" w:type="dxa"/>
            <w:tcBorders>
              <w:top w:val="nil"/>
              <w:left w:val="nil"/>
              <w:bottom w:val="nil"/>
              <w:right w:val="nil"/>
            </w:tcBorders>
            <w:shd w:val="clear" w:color="000000" w:fill="FFFFFF"/>
            <w:tcMar>
              <w:top w:w="15" w:type="dxa"/>
              <w:left w:w="15" w:type="dxa"/>
              <w:bottom w:w="0" w:type="dxa"/>
              <w:right w:w="15" w:type="dxa"/>
            </w:tcMar>
            <w:vAlign w:val="center"/>
          </w:tcPr>
          <w:p>
            <w:pPr>
              <w:jc w:val="right"/>
              <w:rPr>
                <w:rFonts w:hint="default" w:ascii="Times New Roman" w:hAnsi="Times New Roman" w:eastAsia="宋体" w:cs="Times New Roman"/>
                <w:color w:val="auto"/>
                <w:sz w:val="20"/>
                <w:szCs w:val="20"/>
              </w:rPr>
            </w:pPr>
            <w:r>
              <w:rPr>
                <w:rFonts w:hint="default" w:ascii="Times New Roman" w:hAnsi="Times New Roman" w:cs="Times New Roman"/>
                <w:color w:val="auto"/>
                <w:sz w:val="20"/>
                <w:szCs w:val="20"/>
              </w:rPr>
              <w:t>单位：万元</w:t>
            </w:r>
          </w:p>
        </w:tc>
      </w:tr>
      <w:tr>
        <w:tblPrEx>
          <w:tblCellMar>
            <w:top w:w="0" w:type="dxa"/>
            <w:left w:w="0" w:type="dxa"/>
            <w:bottom w:w="0" w:type="dxa"/>
            <w:right w:w="0" w:type="dxa"/>
          </w:tblCellMar>
        </w:tblPrEx>
        <w:trPr>
          <w:trHeight w:val="450" w:hRule="atLeast"/>
        </w:trPr>
        <w:tc>
          <w:tcPr>
            <w:tcW w:w="2614"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项    目</w:t>
            </w:r>
          </w:p>
        </w:tc>
        <w:tc>
          <w:tcPr>
            <w:tcW w:w="161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本年收入合计</w:t>
            </w:r>
          </w:p>
        </w:tc>
        <w:tc>
          <w:tcPr>
            <w:tcW w:w="16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财政拨款收入</w:t>
            </w:r>
          </w:p>
        </w:tc>
        <w:tc>
          <w:tcPr>
            <w:tcW w:w="166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上级补助收入</w:t>
            </w:r>
          </w:p>
        </w:tc>
        <w:tc>
          <w:tcPr>
            <w:tcW w:w="1613"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事业收入</w:t>
            </w:r>
          </w:p>
        </w:tc>
        <w:tc>
          <w:tcPr>
            <w:tcW w:w="1687"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经营收入</w:t>
            </w:r>
          </w:p>
        </w:tc>
        <w:tc>
          <w:tcPr>
            <w:tcW w:w="1819"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附属单位上缴收入</w:t>
            </w:r>
          </w:p>
        </w:tc>
        <w:tc>
          <w:tcPr>
            <w:tcW w:w="173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其他收入</w:t>
            </w:r>
          </w:p>
        </w:tc>
      </w:tr>
      <w:tr>
        <w:tblPrEx>
          <w:tblCellMar>
            <w:top w:w="0" w:type="dxa"/>
            <w:left w:w="0" w:type="dxa"/>
            <w:bottom w:w="0" w:type="dxa"/>
            <w:right w:w="0" w:type="dxa"/>
          </w:tblCellMar>
        </w:tblPrEx>
        <w:trPr>
          <w:trHeight w:val="450" w:hRule="atLeast"/>
        </w:trPr>
        <w:tc>
          <w:tcPr>
            <w:tcW w:w="851" w:type="dxa"/>
            <w:gridSpan w:val="3"/>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功能分类科目编码</w:t>
            </w:r>
          </w:p>
        </w:tc>
        <w:tc>
          <w:tcPr>
            <w:tcW w:w="1763" w:type="dxa"/>
            <w:gridSpan w:val="2"/>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科目名称</w:t>
            </w: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6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9"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851" w:type="dxa"/>
            <w:gridSpan w:val="3"/>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763" w:type="dxa"/>
            <w:gridSpan w:val="2"/>
            <w:vMerge w:val="continue"/>
            <w:tcBorders>
              <w:top w:val="nil"/>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50"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69"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13"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687"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819"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c>
          <w:tcPr>
            <w:tcW w:w="1736" w:type="dxa"/>
            <w:vMerge w:val="continue"/>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2614"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栏次</w:t>
            </w:r>
          </w:p>
        </w:tc>
        <w:tc>
          <w:tcPr>
            <w:tcW w:w="1612"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1</w:t>
            </w:r>
          </w:p>
        </w:tc>
        <w:tc>
          <w:tcPr>
            <w:tcW w:w="1650"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2</w:t>
            </w:r>
          </w:p>
        </w:tc>
        <w:tc>
          <w:tcPr>
            <w:tcW w:w="1669"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3</w:t>
            </w:r>
          </w:p>
        </w:tc>
        <w:tc>
          <w:tcPr>
            <w:tcW w:w="1613"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4</w:t>
            </w:r>
          </w:p>
        </w:tc>
        <w:tc>
          <w:tcPr>
            <w:tcW w:w="1687"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5</w:t>
            </w:r>
          </w:p>
        </w:tc>
        <w:tc>
          <w:tcPr>
            <w:tcW w:w="1819"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6</w:t>
            </w:r>
          </w:p>
        </w:tc>
        <w:tc>
          <w:tcPr>
            <w:tcW w:w="1736" w:type="dxa"/>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7</w:t>
            </w:r>
          </w:p>
        </w:tc>
      </w:tr>
      <w:tr>
        <w:tblPrEx>
          <w:tblCellMar>
            <w:top w:w="0" w:type="dxa"/>
            <w:left w:w="0" w:type="dxa"/>
            <w:bottom w:w="0" w:type="dxa"/>
            <w:right w:w="0" w:type="dxa"/>
          </w:tblCellMar>
        </w:tblPrEx>
        <w:trPr>
          <w:trHeight w:val="450" w:hRule="atLeast"/>
        </w:trPr>
        <w:tc>
          <w:tcPr>
            <w:tcW w:w="2614" w:type="dxa"/>
            <w:gridSpan w:val="5"/>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rPr>
              <w:t>合计</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1151.71</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963.19</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187.28</w:t>
            </w:r>
            <w:r>
              <w:rPr>
                <w:rFonts w:hint="default" w:ascii="Times New Roman" w:hAnsi="Times New Roman" w:cs="Times New Roman"/>
                <w:color w:val="auto"/>
              </w:rPr>
              <w:t>　</w:t>
            </w: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1.24</w:t>
            </w:r>
            <w:r>
              <w:rPr>
                <w:rFonts w:hint="default" w:ascii="Times New Roman" w:hAnsi="Times New Roman" w:cs="Times New Roman"/>
                <w:color w:val="auto"/>
              </w:rPr>
              <w:t>　</w:t>
            </w: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b/>
                <w:bCs/>
                <w:color w:val="auto"/>
                <w:lang w:val="en-US" w:eastAsia="zh-CN"/>
              </w:rPr>
              <w:t>207</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文化旅游体育与传媒支出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1110.71</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922.19</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187.28</w:t>
            </w:r>
            <w:r>
              <w:rPr>
                <w:rFonts w:hint="default" w:ascii="Times New Roman" w:hAnsi="Times New Roman" w:cs="Times New Roman"/>
                <w:color w:val="auto"/>
              </w:rPr>
              <w:t>　</w:t>
            </w: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1.24</w:t>
            </w:r>
            <w:r>
              <w:rPr>
                <w:rFonts w:hint="default" w:ascii="Times New Roman" w:hAnsi="Times New Roman" w:cs="Times New Roman"/>
                <w:color w:val="auto"/>
              </w:rPr>
              <w:t>　</w:t>
            </w: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b/>
                <w:bCs/>
                <w:color w:val="auto"/>
                <w:lang w:val="en-US" w:eastAsia="zh-CN"/>
              </w:rPr>
              <w:t>20708</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广播电视</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华文中宋" w:cs="Times New Roman"/>
                <w:color w:val="auto"/>
                <w:sz w:val="24"/>
                <w:szCs w:val="24"/>
              </w:rPr>
            </w:pPr>
            <w:r>
              <w:rPr>
                <w:rFonts w:hint="default" w:ascii="Times New Roman" w:hAnsi="Times New Roman" w:eastAsia="华文中宋" w:cs="Times New Roman"/>
                <w:color w:val="auto"/>
                <w:lang w:val="en-US" w:eastAsia="zh-CN"/>
              </w:rPr>
              <w:t>808.86</w:t>
            </w:r>
            <w:r>
              <w:rPr>
                <w:rFonts w:hint="default" w:ascii="Times New Roman" w:hAnsi="Times New Roman" w:eastAsia="华文中宋"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620.34</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187.28</w:t>
            </w:r>
            <w:r>
              <w:rPr>
                <w:rFonts w:hint="default" w:ascii="Times New Roman" w:hAnsi="Times New Roman" w:cs="Times New Roman"/>
                <w:color w:val="auto"/>
              </w:rPr>
              <w:t>　</w:t>
            </w: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1.24</w:t>
            </w:r>
            <w:r>
              <w:rPr>
                <w:rFonts w:hint="default" w:ascii="Times New Roman" w:hAnsi="Times New Roman" w:cs="Times New Roman"/>
                <w:color w:val="auto"/>
              </w:rPr>
              <w:t>　</w:t>
            </w: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b/>
                <w:bCs/>
                <w:color w:val="auto"/>
                <w:lang w:val="en-US" w:eastAsia="zh-CN"/>
              </w:rPr>
              <w:t>2070899</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其他广播电视支出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808.06</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620.34</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187.28</w:t>
            </w:r>
            <w:r>
              <w:rPr>
                <w:rFonts w:hint="default" w:ascii="Times New Roman" w:hAnsi="Times New Roman" w:cs="Times New Roman"/>
                <w:color w:val="auto"/>
              </w:rPr>
              <w:t>　</w:t>
            </w: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1.24</w:t>
            </w:r>
            <w:r>
              <w:rPr>
                <w:rFonts w:hint="default" w:ascii="Times New Roman" w:hAnsi="Times New Roman" w:cs="Times New Roman"/>
                <w:color w:val="auto"/>
              </w:rPr>
              <w:t>　</w:t>
            </w: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20799</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其他文化旅游体育与传媒支出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301.85</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301.85</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2079999</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其他文化旅游体育与传媒支出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301.85</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301.85</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208</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社会保障和就业支出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r>
              <w:rPr>
                <w:rFonts w:hint="default" w:ascii="Times New Roman" w:hAnsi="Times New Roman" w:cs="Times New Roman"/>
                <w:color w:val="auto"/>
                <w:lang w:val="en-US" w:eastAsia="zh-CN"/>
              </w:rPr>
              <w:t>41.00</w:t>
            </w:r>
            <w:r>
              <w:rPr>
                <w:rFonts w:hint="default" w:ascii="Times New Roman" w:hAnsi="Times New Roman" w:cs="Times New Roman"/>
                <w:color w:val="auto"/>
              </w:rPr>
              <w:t>　</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r>
              <w:rPr>
                <w:rFonts w:hint="default" w:ascii="Times New Roman" w:hAnsi="Times New Roman" w:cs="Times New Roman"/>
                <w:color w:val="auto"/>
                <w:lang w:val="en-US" w:eastAsia="zh-CN"/>
              </w:rPr>
              <w:t>41.00</w:t>
            </w:r>
            <w:r>
              <w:rPr>
                <w:rFonts w:hint="default" w:ascii="Times New Roman" w:hAnsi="Times New Roman" w:cs="Times New Roman"/>
                <w:color w:val="auto"/>
              </w:rPr>
              <w:t>　</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20805</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行政事业单位养老支出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r>
              <w:rPr>
                <w:rFonts w:hint="default" w:ascii="Times New Roman" w:hAnsi="Times New Roman" w:cs="Times New Roman"/>
                <w:color w:val="auto"/>
                <w:lang w:val="en-US" w:eastAsia="zh-CN"/>
              </w:rPr>
              <w:t>41.00</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r>
              <w:rPr>
                <w:rFonts w:hint="default" w:ascii="Times New Roman" w:hAnsi="Times New Roman" w:cs="Times New Roman"/>
                <w:color w:val="auto"/>
                <w:lang w:val="en-US" w:eastAsia="zh-CN"/>
              </w:rPr>
              <w:t>41.00</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cs="Times New Roman"/>
                <w:color w:val="auto"/>
              </w:rPr>
            </w:pPr>
          </w:p>
        </w:tc>
      </w:tr>
      <w:tr>
        <w:tblPrEx>
          <w:tblCellMar>
            <w:top w:w="0" w:type="dxa"/>
            <w:left w:w="0" w:type="dxa"/>
            <w:bottom w:w="0" w:type="dxa"/>
            <w:right w:w="0" w:type="dxa"/>
          </w:tblCellMar>
        </w:tblPrEx>
        <w:trPr>
          <w:trHeight w:val="450" w:hRule="atLeast"/>
        </w:trPr>
        <w:tc>
          <w:tcPr>
            <w:tcW w:w="851"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both"/>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2080505</w:t>
            </w:r>
          </w:p>
        </w:tc>
        <w:tc>
          <w:tcPr>
            <w:tcW w:w="1763" w:type="dxa"/>
            <w:gridSpan w:val="2"/>
            <w:tcBorders>
              <w:top w:val="nil"/>
              <w:left w:val="nil"/>
              <w:bottom w:val="single" w:color="auto" w:sz="4" w:space="0"/>
              <w:right w:val="single" w:color="auto" w:sz="4" w:space="0"/>
            </w:tcBorders>
            <w:shd w:val="clear" w:color="000000" w:fill="FFFFFF"/>
            <w:tcMar>
              <w:top w:w="15" w:type="dxa"/>
              <w:left w:w="15" w:type="dxa"/>
              <w:bottom w:w="0" w:type="dxa"/>
              <w:right w:w="15" w:type="dxa"/>
            </w:tcMar>
            <w:vAlign w:val="center"/>
          </w:tcPr>
          <w:p>
            <w:pPr>
              <w:shd w:val="clear"/>
              <w:jc w:val="center"/>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机关事业单位基本养老保险缴费支出</w:t>
            </w:r>
          </w:p>
        </w:tc>
        <w:tc>
          <w:tcPr>
            <w:tcW w:w="161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41.00</w:t>
            </w:r>
          </w:p>
        </w:tc>
        <w:tc>
          <w:tcPr>
            <w:tcW w:w="1650"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r>
              <w:rPr>
                <w:rFonts w:hint="default" w:ascii="Times New Roman" w:hAnsi="Times New Roman" w:cs="Times New Roman"/>
                <w:color w:val="auto"/>
                <w:lang w:val="en-US" w:eastAsia="zh-CN"/>
              </w:rPr>
              <w:t>41.00</w:t>
            </w:r>
          </w:p>
        </w:tc>
        <w:tc>
          <w:tcPr>
            <w:tcW w:w="1669" w:type="dxa"/>
            <w:gridSpan w:val="2"/>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13"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687"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819"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c>
          <w:tcPr>
            <w:tcW w:w="173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tcPr>
          <w:p>
            <w:pPr>
              <w:shd w:val="clear"/>
              <w:jc w:val="right"/>
              <w:rPr>
                <w:rFonts w:hint="default" w:ascii="Times New Roman" w:hAnsi="Times New Roman" w:eastAsia="宋体" w:cs="Times New Roman"/>
                <w:color w:val="auto"/>
                <w:sz w:val="24"/>
                <w:szCs w:val="24"/>
              </w:rPr>
            </w:pPr>
          </w:p>
        </w:tc>
      </w:tr>
      <w:tr>
        <w:tblPrEx>
          <w:tblCellMar>
            <w:top w:w="0" w:type="dxa"/>
            <w:left w:w="0" w:type="dxa"/>
            <w:bottom w:w="0" w:type="dxa"/>
            <w:right w:w="0" w:type="dxa"/>
          </w:tblCellMar>
        </w:tblPrEx>
        <w:trPr>
          <w:trHeight w:val="615" w:hRule="atLeast"/>
        </w:trPr>
        <w:tc>
          <w:tcPr>
            <w:tcW w:w="14400" w:type="dxa"/>
            <w:gridSpan w:val="13"/>
            <w:tcBorders>
              <w:top w:val="nil"/>
              <w:left w:val="nil"/>
              <w:bottom w:val="nil"/>
              <w:right w:val="nil"/>
            </w:tcBorders>
            <w:shd w:val="clear" w:color="auto" w:fill="auto"/>
            <w:tcMar>
              <w:top w:w="15" w:type="dxa"/>
              <w:left w:w="15" w:type="dxa"/>
              <w:bottom w:w="0" w:type="dxa"/>
              <w:right w:w="15" w:type="dxa"/>
            </w:tcMar>
            <w:vAlign w:val="center"/>
          </w:tcPr>
          <w:p>
            <w:pPr>
              <w:rPr>
                <w:rFonts w:hint="default" w:ascii="Times New Roman" w:hAnsi="Times New Roman" w:eastAsia="宋体" w:cs="Times New Roman"/>
                <w:color w:val="auto"/>
                <w:sz w:val="24"/>
                <w:szCs w:val="24"/>
              </w:rPr>
            </w:pPr>
            <w:r>
              <w:rPr>
                <w:rFonts w:hint="default" w:ascii="Times New Roman" w:hAnsi="Times New Roman" w:cs="Times New Roman"/>
                <w:color w:val="auto"/>
              </w:rPr>
              <w:t>注：本表反映部门本年度取得的各项收入情况。</w:t>
            </w:r>
          </w:p>
        </w:tc>
      </w:tr>
    </w:tbl>
    <w:p>
      <w:pPr>
        <w:widowControl/>
        <w:jc w:val="left"/>
        <w:rPr>
          <w:rFonts w:hint="default" w:ascii="Times New Roman" w:hAnsi="Times New Roman" w:eastAsia="黑体" w:cs="Times New Roman"/>
          <w:bCs/>
          <w:color w:val="auto"/>
          <w:kern w:val="0"/>
          <w:sz w:val="32"/>
          <w:szCs w:val="32"/>
        </w:rPr>
      </w:pPr>
      <w:r>
        <w:rPr>
          <w:rFonts w:hint="default" w:ascii="Times New Roman" w:hAnsi="Times New Roman" w:eastAsia="黑体" w:cs="Times New Roman"/>
          <w:bCs/>
          <w:color w:val="auto"/>
          <w:kern w:val="0"/>
          <w:sz w:val="32"/>
          <w:szCs w:val="32"/>
        </w:rPr>
        <w:t xml:space="preserve"> </w:t>
      </w:r>
      <w:r>
        <w:rPr>
          <w:rFonts w:hint="default" w:ascii="Times New Roman" w:hAnsi="Times New Roman" w:eastAsia="黑体" w:cs="Times New Roman"/>
          <w:bCs/>
          <w:color w:val="auto"/>
          <w:kern w:val="0"/>
          <w:sz w:val="32"/>
          <w:szCs w:val="32"/>
        </w:rPr>
        <w:br w:type="page"/>
      </w:r>
    </w:p>
    <w:p>
      <w:pPr>
        <w:widowControl/>
        <w:rPr>
          <w:rFonts w:hint="default" w:ascii="Times New Roman" w:hAnsi="Times New Roman" w:eastAsia="方正小标宋_GBK" w:cs="Times New Roman"/>
          <w:color w:val="auto"/>
          <w:kern w:val="0"/>
          <w:sz w:val="36"/>
          <w:szCs w:val="36"/>
        </w:rPr>
      </w:pPr>
    </w:p>
    <w:tbl>
      <w:tblPr>
        <w:tblStyle w:val="5"/>
        <w:tblW w:w="14420" w:type="dxa"/>
        <w:tblInd w:w="93" w:type="dxa"/>
        <w:tblLayout w:type="fixed"/>
        <w:tblCellMar>
          <w:top w:w="0" w:type="dxa"/>
          <w:left w:w="108" w:type="dxa"/>
          <w:bottom w:w="0" w:type="dxa"/>
          <w:right w:w="108" w:type="dxa"/>
        </w:tblCellMar>
      </w:tblPr>
      <w:tblGrid>
        <w:gridCol w:w="1140"/>
        <w:gridCol w:w="243"/>
        <w:gridCol w:w="1366"/>
        <w:gridCol w:w="1196"/>
        <w:gridCol w:w="1838"/>
        <w:gridCol w:w="1363"/>
        <w:gridCol w:w="343"/>
        <w:gridCol w:w="1612"/>
        <w:gridCol w:w="1838"/>
        <w:gridCol w:w="1786"/>
        <w:gridCol w:w="1695"/>
      </w:tblGrid>
      <w:tr>
        <w:tblPrEx>
          <w:tblCellMar>
            <w:top w:w="0" w:type="dxa"/>
            <w:left w:w="108" w:type="dxa"/>
            <w:bottom w:w="0" w:type="dxa"/>
            <w:right w:w="108" w:type="dxa"/>
          </w:tblCellMar>
        </w:tblPrEx>
        <w:trPr>
          <w:trHeight w:val="514" w:hRule="atLeast"/>
        </w:trPr>
        <w:tc>
          <w:tcPr>
            <w:tcW w:w="14420" w:type="dxa"/>
            <w:gridSpan w:val="11"/>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支出决算表</w:t>
            </w:r>
          </w:p>
        </w:tc>
      </w:tr>
      <w:tr>
        <w:tblPrEx>
          <w:tblCellMar>
            <w:top w:w="0" w:type="dxa"/>
            <w:left w:w="108" w:type="dxa"/>
            <w:bottom w:w="0" w:type="dxa"/>
            <w:right w:w="108" w:type="dxa"/>
          </w:tblCellMar>
        </w:tblPrEx>
        <w:trPr>
          <w:trHeight w:val="323" w:hRule="atLeast"/>
        </w:trPr>
        <w:tc>
          <w:tcPr>
            <w:tcW w:w="1140"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24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6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3034"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6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955"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83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78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69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公开03表</w:t>
            </w:r>
          </w:p>
        </w:tc>
      </w:tr>
      <w:tr>
        <w:tblPrEx>
          <w:tblCellMar>
            <w:top w:w="0" w:type="dxa"/>
            <w:left w:w="108" w:type="dxa"/>
            <w:bottom w:w="0" w:type="dxa"/>
            <w:right w:w="108" w:type="dxa"/>
          </w:tblCellMar>
        </w:tblPrEx>
        <w:trPr>
          <w:trHeight w:val="323" w:hRule="atLeast"/>
        </w:trPr>
        <w:tc>
          <w:tcPr>
            <w:tcW w:w="5783" w:type="dxa"/>
            <w:gridSpan w:val="5"/>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0"/>
                <w:szCs w:val="20"/>
              </w:rPr>
              <w:t>部门：</w:t>
            </w:r>
            <w:r>
              <w:rPr>
                <w:rFonts w:hint="default" w:ascii="Times New Roman" w:hAnsi="Times New Roman" w:eastAsia="宋体" w:cs="Times New Roman"/>
                <w:color w:val="auto"/>
                <w:kern w:val="0"/>
                <w:sz w:val="20"/>
                <w:szCs w:val="20"/>
                <w:lang w:val="en-US" w:eastAsia="zh-CN"/>
              </w:rPr>
              <w:t>湖南广播电视网络传输中心</w:t>
            </w:r>
            <w:r>
              <w:rPr>
                <w:rFonts w:hint="default" w:ascii="Times New Roman" w:hAnsi="Times New Roman" w:eastAsia="宋体" w:cs="Times New Roman"/>
                <w:color w:val="auto"/>
                <w:kern w:val="0"/>
                <w:sz w:val="24"/>
                <w:szCs w:val="24"/>
              </w:rPr>
              <w:t>　</w:t>
            </w:r>
          </w:p>
        </w:tc>
        <w:tc>
          <w:tcPr>
            <w:tcW w:w="3318" w:type="dxa"/>
            <w:gridSpan w:val="3"/>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lang w:val="en-US" w:eastAsia="zh-CN"/>
              </w:rPr>
              <w:t>2020年度</w:t>
            </w:r>
            <w:r>
              <w:rPr>
                <w:rFonts w:hint="default" w:ascii="Times New Roman" w:hAnsi="Times New Roman" w:eastAsia="宋体" w:cs="Times New Roman"/>
                <w:color w:val="auto"/>
                <w:kern w:val="0"/>
                <w:sz w:val="20"/>
                <w:szCs w:val="20"/>
              </w:rPr>
              <w:t>　</w:t>
            </w:r>
          </w:p>
        </w:tc>
        <w:tc>
          <w:tcPr>
            <w:tcW w:w="183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78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69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76" w:hRule="atLeast"/>
        </w:trPr>
        <w:tc>
          <w:tcPr>
            <w:tcW w:w="394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18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本年支出合计</w:t>
            </w:r>
          </w:p>
        </w:tc>
        <w:tc>
          <w:tcPr>
            <w:tcW w:w="1706"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基本支出</w:t>
            </w:r>
          </w:p>
        </w:tc>
        <w:tc>
          <w:tcPr>
            <w:tcW w:w="161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c>
          <w:tcPr>
            <w:tcW w:w="183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上缴上级支出</w:t>
            </w:r>
          </w:p>
        </w:tc>
        <w:tc>
          <w:tcPr>
            <w:tcW w:w="178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经营支出</w:t>
            </w:r>
          </w:p>
        </w:tc>
        <w:tc>
          <w:tcPr>
            <w:tcW w:w="16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对附属单位补助支出</w:t>
            </w:r>
          </w:p>
        </w:tc>
      </w:tr>
      <w:tr>
        <w:tblPrEx>
          <w:tblCellMar>
            <w:top w:w="0" w:type="dxa"/>
            <w:left w:w="108" w:type="dxa"/>
            <w:bottom w:w="0" w:type="dxa"/>
            <w:right w:w="108" w:type="dxa"/>
          </w:tblCellMar>
        </w:tblPrEx>
        <w:trPr>
          <w:trHeight w:val="476" w:hRule="atLeast"/>
        </w:trPr>
        <w:tc>
          <w:tcPr>
            <w:tcW w:w="1383"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2562"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7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76" w:hRule="atLeast"/>
        </w:trPr>
        <w:tc>
          <w:tcPr>
            <w:tcW w:w="138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562"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70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6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83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16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76" w:hRule="atLeast"/>
        </w:trPr>
        <w:tc>
          <w:tcPr>
            <w:tcW w:w="394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183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1706"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1612"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838"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78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c>
          <w:tcPr>
            <w:tcW w:w="1695"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6</w:t>
            </w:r>
          </w:p>
        </w:tc>
      </w:tr>
      <w:tr>
        <w:tblPrEx>
          <w:tblCellMar>
            <w:top w:w="0" w:type="dxa"/>
            <w:left w:w="108" w:type="dxa"/>
            <w:bottom w:w="0" w:type="dxa"/>
            <w:right w:w="108" w:type="dxa"/>
          </w:tblCellMar>
        </w:tblPrEx>
        <w:trPr>
          <w:trHeight w:val="476" w:hRule="atLeast"/>
        </w:trPr>
        <w:tc>
          <w:tcPr>
            <w:tcW w:w="3945"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1,088.33</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707.19</w:t>
            </w: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315.64</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65.50</w:t>
            </w: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5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207</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文化旅游体育与传媒支出</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1,047.33</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666.19</w:t>
            </w: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315.64</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65.50</w:t>
            </w: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7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20708</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　广播电视</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765.48</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666.19</w:t>
            </w: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33.79</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65.50</w:t>
            </w: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5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2070899</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　其他广播电视支出</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765.48</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666.19</w:t>
            </w: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33.79</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65.50</w:t>
            </w: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5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20799</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其他文化旅游体育与传媒支出　</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281.85</w:t>
            </w:r>
          </w:p>
        </w:tc>
        <w:tc>
          <w:tcPr>
            <w:tcW w:w="1706"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281.85</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5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2079999</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 xml:space="preserve"> 其他文化旅游体育与传媒支出　</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281.85</w:t>
            </w:r>
          </w:p>
        </w:tc>
        <w:tc>
          <w:tcPr>
            <w:tcW w:w="1706" w:type="dxa"/>
            <w:gridSpan w:val="2"/>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281.85</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506"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208</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社会保障和就业支出　</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41.00</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41.00</w:t>
            </w:r>
          </w:p>
        </w:tc>
        <w:tc>
          <w:tcPr>
            <w:tcW w:w="161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581"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20805</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行政事业单位养老支出</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41.00</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i w:val="0"/>
                <w:color w:val="auto"/>
                <w:kern w:val="0"/>
                <w:sz w:val="22"/>
                <w:szCs w:val="22"/>
                <w:u w:val="none"/>
                <w:lang w:val="en-US" w:eastAsia="zh-CN" w:bidi="ar"/>
              </w:rPr>
              <w:t>41.00</w:t>
            </w:r>
          </w:p>
        </w:tc>
        <w:tc>
          <w:tcPr>
            <w:tcW w:w="161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980" w:hRule="atLeast"/>
        </w:trPr>
        <w:tc>
          <w:tcPr>
            <w:tcW w:w="1383"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2080505</w:t>
            </w:r>
          </w:p>
        </w:tc>
        <w:tc>
          <w:tcPr>
            <w:tcW w:w="2562" w:type="dxa"/>
            <w:gridSpan w:val="2"/>
            <w:tcBorders>
              <w:top w:val="nil"/>
              <w:left w:val="nil"/>
              <w:bottom w:val="single" w:color="auto" w:sz="4" w:space="0"/>
              <w:right w:val="single" w:color="auto" w:sz="4" w:space="0"/>
            </w:tcBorders>
            <w:shd w:val="clear" w:color="000000" w:fill="FFFFFF"/>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rPr>
              <w:t xml:space="preserve"> 机关事业单位基本养老保险缴费支出</w:t>
            </w: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41.00</w:t>
            </w:r>
          </w:p>
        </w:tc>
        <w:tc>
          <w:tcPr>
            <w:tcW w:w="1706"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i w:val="0"/>
                <w:color w:val="auto"/>
                <w:kern w:val="0"/>
                <w:sz w:val="22"/>
                <w:szCs w:val="22"/>
                <w:u w:val="none"/>
                <w:lang w:val="en-US" w:eastAsia="zh-CN" w:bidi="ar"/>
              </w:rPr>
              <w:t>41.00</w:t>
            </w:r>
          </w:p>
        </w:tc>
        <w:tc>
          <w:tcPr>
            <w:tcW w:w="1612"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83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c>
          <w:tcPr>
            <w:tcW w:w="178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4"/>
                <w:szCs w:val="24"/>
              </w:rPr>
            </w:pPr>
          </w:p>
        </w:tc>
        <w:tc>
          <w:tcPr>
            <w:tcW w:w="169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663" w:hRule="atLeast"/>
        </w:trPr>
        <w:tc>
          <w:tcPr>
            <w:tcW w:w="14420"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注：本表反映部门本年度各项支出情况。</w:t>
            </w:r>
          </w:p>
        </w:tc>
      </w:tr>
    </w:tbl>
    <w:tbl>
      <w:tblPr>
        <w:tblStyle w:val="5"/>
        <w:tblpPr w:leftFromText="180" w:rightFromText="180" w:vertAnchor="text" w:horzAnchor="page" w:tblpX="822" w:tblpY="155"/>
        <w:tblOverlap w:val="never"/>
        <w:tblW w:w="15521" w:type="dxa"/>
        <w:tblInd w:w="0"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vAlign w:val="center"/>
          </w:tcPr>
          <w:p>
            <w:pPr>
              <w:widowControl/>
              <w:jc w:val="left"/>
              <w:rPr>
                <w:rFonts w:hint="default" w:ascii="Times New Roman" w:hAnsi="Times New Roman" w:eastAsia="黑体" w:cs="Times New Roman"/>
                <w:color w:val="auto"/>
                <w:kern w:val="0"/>
                <w:sz w:val="24"/>
                <w:szCs w:val="24"/>
              </w:rPr>
            </w:pPr>
          </w:p>
        </w:tc>
        <w:tc>
          <w:tcPr>
            <w:tcW w:w="436"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1574" w:type="dxa"/>
            <w:gridSpan w:val="2"/>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3547" w:type="dxa"/>
            <w:gridSpan w:val="2"/>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435"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1394"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c>
          <w:tcPr>
            <w:tcW w:w="1573"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3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r>
              <w:rPr>
                <w:rFonts w:hint="default" w:ascii="Times New Roman" w:hAnsi="Times New Roman" w:eastAsia="宋体" w:cs="Times New Roman"/>
                <w:color w:val="auto"/>
                <w:kern w:val="0"/>
                <w:sz w:val="20"/>
                <w:szCs w:val="20"/>
                <w:lang w:val="en-US" w:eastAsia="zh-CN"/>
              </w:rPr>
              <w:t>湖南广播电视网络传输中心</w:t>
            </w:r>
          </w:p>
        </w:tc>
        <w:tc>
          <w:tcPr>
            <w:tcW w:w="436"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8"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4043" w:type="dxa"/>
            <w:gridSpan w:val="3"/>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val="en-US" w:eastAsia="zh-CN"/>
              </w:rPr>
              <w:t>2020年度</w:t>
            </w:r>
            <w:r>
              <w:rPr>
                <w:rFonts w:hint="default" w:ascii="Times New Roman" w:hAnsi="Times New Roman" w:eastAsia="宋体" w:cs="Times New Roman"/>
                <w:color w:val="auto"/>
                <w:kern w:val="0"/>
                <w:sz w:val="24"/>
                <w:szCs w:val="24"/>
              </w:rPr>
              <w:t>　</w:t>
            </w:r>
          </w:p>
        </w:tc>
        <w:tc>
          <w:tcPr>
            <w:tcW w:w="435"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394"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行次</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07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4</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963.19</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二、外交支出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3</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三、国防支出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4</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18</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5</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五、教育支出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19</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6</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20</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7</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2"/>
                <w:szCs w:val="22"/>
                <w:lang w:val="en-US" w:eastAsia="zh-CN"/>
              </w:rPr>
              <w:t>七、文化旅游体育与传媒支出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21</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846.71</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846.71</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8</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szCs w:val="22"/>
                <w:lang w:val="en-US" w:eastAsia="zh-CN"/>
              </w:rPr>
              <w:t>八、社会保障和就业支出</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22</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41.00</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41.00</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本年收入合计</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9</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963.19</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23</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887.71</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887.71</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年初财政拨款结转和结余</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10</w:t>
            </w:r>
          </w:p>
        </w:tc>
        <w:tc>
          <w:tcPr>
            <w:tcW w:w="107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t>14.65</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24</w:t>
            </w:r>
          </w:p>
        </w:tc>
        <w:tc>
          <w:tcPr>
            <w:tcW w:w="15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90.14</w:t>
            </w:r>
          </w:p>
        </w:tc>
        <w:tc>
          <w:tcPr>
            <w:tcW w:w="139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90.14</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11</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t>14.65</w:t>
            </w: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25</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12</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26</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13</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rPr>
            </w:pPr>
          </w:p>
        </w:tc>
        <w:tc>
          <w:tcPr>
            <w:tcW w:w="3411"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06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27</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436" w:type="dxa"/>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14</w:t>
            </w:r>
          </w:p>
        </w:tc>
        <w:tc>
          <w:tcPr>
            <w:tcW w:w="1078"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t>977.84</w:t>
            </w:r>
          </w:p>
        </w:tc>
        <w:tc>
          <w:tcPr>
            <w:tcW w:w="3411"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总计</w:t>
            </w:r>
          </w:p>
        </w:tc>
        <w:tc>
          <w:tcPr>
            <w:tcW w:w="1067"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default" w:ascii="Times New Roman" w:hAnsi="Times New Roman" w:eastAsia="宋体" w:cs="Times New Roman"/>
                <w:color w:val="auto"/>
                <w:kern w:val="0"/>
                <w:sz w:val="22"/>
              </w:rPr>
            </w:pPr>
            <w:r>
              <w:rPr>
                <w:rFonts w:hint="default" w:ascii="Times New Roman" w:hAnsi="Times New Roman" w:eastAsia="宋体" w:cs="Times New Roman"/>
                <w:color w:val="auto"/>
                <w:kern w:val="0"/>
                <w:sz w:val="22"/>
              </w:rPr>
              <w:t>28</w:t>
            </w:r>
          </w:p>
        </w:tc>
        <w:tc>
          <w:tcPr>
            <w:tcW w:w="157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977.84</w:t>
            </w:r>
          </w:p>
        </w:tc>
        <w:tc>
          <w:tcPr>
            <w:tcW w:w="139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 w:val="22"/>
              </w:rPr>
            </w:pPr>
            <w:r>
              <w:rPr>
                <w:rFonts w:hint="default" w:ascii="Times New Roman" w:hAnsi="Times New Roman" w:eastAsia="宋体" w:cs="Times New Roman"/>
                <w:i w:val="0"/>
                <w:color w:val="auto"/>
                <w:kern w:val="0"/>
                <w:sz w:val="22"/>
                <w:szCs w:val="22"/>
                <w:u w:val="none"/>
                <w:lang w:val="en-US" w:eastAsia="zh-CN" w:bidi="ar"/>
              </w:rPr>
              <w:t>977.84</w:t>
            </w:r>
          </w:p>
        </w:tc>
        <w:tc>
          <w:tcPr>
            <w:tcW w:w="139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　</w:t>
            </w:r>
          </w:p>
        </w:tc>
        <w:tc>
          <w:tcPr>
            <w:tcW w:w="15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　</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注：本表反映部门本年度一般公共预算财政拨款、政府性基金预算财政拨款和国有资本经营预算财政拨款的总收支和年末结转结余情况。</w:t>
            </w:r>
          </w:p>
        </w:tc>
      </w:tr>
    </w:tbl>
    <w:p>
      <w:pPr>
        <w:widowControl/>
        <w:jc w:val="both"/>
        <w:rPr>
          <w:rFonts w:hint="default" w:ascii="Times New Roman" w:hAnsi="Times New Roman" w:eastAsia="方正小标宋_GBK" w:cs="Times New Roman"/>
          <w:color w:val="auto"/>
          <w:kern w:val="0"/>
          <w:sz w:val="36"/>
          <w:szCs w:val="36"/>
        </w:rPr>
      </w:pPr>
      <w:bookmarkStart w:id="0" w:name="RANGE!A1:I22"/>
      <w:bookmarkEnd w:id="0"/>
      <w:bookmarkStart w:id="1" w:name="RANGE!A1:F16"/>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一般公共预算财政拨款支出决算表</w:t>
      </w:r>
      <w:bookmarkEnd w:id="1"/>
    </w:p>
    <w:p>
      <w:pPr>
        <w:widowControl/>
        <w:spacing w:before="156" w:beforeLines="5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部门：  </w:t>
      </w:r>
      <w:r>
        <w:rPr>
          <w:rFonts w:hint="default" w:ascii="Times New Roman" w:hAnsi="Times New Roman" w:eastAsia="仿宋_GB2312" w:cs="Times New Roman"/>
          <w:color w:val="auto"/>
          <w:kern w:val="0"/>
          <w:szCs w:val="21"/>
          <w:lang w:val="en-US" w:eastAsia="zh-CN"/>
        </w:rPr>
        <w:t>湖南广播电视网络传输中心</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lang w:val="en-US" w:eastAsia="zh-CN"/>
        </w:rPr>
        <w:t>2020年度</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lang w:val="en-US" w:eastAsia="zh-CN"/>
        </w:rPr>
        <w:t xml:space="preserve">          </w:t>
      </w:r>
      <w:r>
        <w:rPr>
          <w:rFonts w:hint="default" w:ascii="Times New Roman" w:hAnsi="Times New Roman" w:eastAsia="仿宋_GB2312" w:cs="Times New Roman"/>
          <w:color w:val="auto"/>
          <w:kern w:val="0"/>
          <w:szCs w:val="21"/>
        </w:rPr>
        <w:t>公开05表</w:t>
      </w:r>
    </w:p>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Cs w:val="21"/>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    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887.71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572.07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315.64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207</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846.71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531.07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315.64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20708</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广播电视</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564.86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531.07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33.79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2070899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 xml:space="preserve">  其他广播电视支出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564.86</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531.07</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33.79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20799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281.85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281.85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2079999</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 xml:space="preserve">  其他文化旅游体育与传媒支出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281.85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281.85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208</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41.00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41.00</w:t>
            </w:r>
          </w:p>
        </w:tc>
        <w:tc>
          <w:tcPr>
            <w:tcW w:w="3000" w:type="dxa"/>
            <w:tcBorders>
              <w:top w:val="nil"/>
              <w:left w:val="nil"/>
              <w:bottom w:val="single" w:color="auto" w:sz="8" w:space="0"/>
              <w:right w:val="single" w:color="auto" w:sz="8" w:space="0"/>
            </w:tcBorders>
            <w:shd w:val="clear" w:color="auto" w:fill="auto"/>
            <w:vAlign w:val="center"/>
          </w:tcPr>
          <w:p>
            <w:pPr>
              <w:jc w:val="righ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20805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行政事业单位养老支出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41.00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b/>
                <w:i w:val="0"/>
                <w:color w:val="auto"/>
                <w:kern w:val="0"/>
                <w:sz w:val="22"/>
                <w:szCs w:val="22"/>
                <w:u w:val="none"/>
                <w:lang w:val="en-US" w:eastAsia="zh-CN" w:bidi="ar"/>
              </w:rPr>
              <w:t>41.00</w:t>
            </w:r>
          </w:p>
        </w:tc>
        <w:tc>
          <w:tcPr>
            <w:tcW w:w="3000" w:type="dxa"/>
            <w:tcBorders>
              <w:top w:val="nil"/>
              <w:left w:val="nil"/>
              <w:bottom w:val="single" w:color="auto" w:sz="8" w:space="0"/>
              <w:right w:val="single" w:color="auto" w:sz="8" w:space="0"/>
            </w:tcBorders>
            <w:shd w:val="clear" w:color="auto" w:fill="auto"/>
            <w:vAlign w:val="center"/>
          </w:tcPr>
          <w:p>
            <w:pPr>
              <w:jc w:val="righ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2080505</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 xml:space="preserve">  机关事业单位基本养老保险缴费支出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41.00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41.00</w:t>
            </w:r>
          </w:p>
        </w:tc>
        <w:tc>
          <w:tcPr>
            <w:tcW w:w="3000" w:type="dxa"/>
            <w:tcBorders>
              <w:top w:val="nil"/>
              <w:left w:val="nil"/>
              <w:bottom w:val="single" w:color="auto" w:sz="8" w:space="0"/>
              <w:right w:val="single" w:color="auto" w:sz="8" w:space="0"/>
            </w:tcBorders>
            <w:shd w:val="clear" w:color="auto" w:fill="auto"/>
            <w:vAlign w:val="center"/>
          </w:tcPr>
          <w:p>
            <w:pPr>
              <w:jc w:val="righ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注：本表反映部门本年度一般公共预算财政拨款支出情况。</w:t>
            </w:r>
          </w:p>
        </w:tc>
      </w:tr>
    </w:tbl>
    <w:p>
      <w:pPr>
        <w:widowControl/>
        <w:jc w:val="left"/>
        <w:rPr>
          <w:rFonts w:hint="default" w:ascii="Times New Roman" w:hAnsi="Times New Roman" w:eastAsia="仿宋_GB2312" w:cs="Times New Roman"/>
          <w:bCs/>
          <w:color w:val="auto"/>
          <w:kern w:val="0"/>
          <w:szCs w:val="21"/>
        </w:rPr>
      </w:pPr>
    </w:p>
    <w:p>
      <w:pPr>
        <w:widowControl/>
        <w:jc w:val="left"/>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br w:type="page"/>
      </w:r>
    </w:p>
    <w:tbl>
      <w:tblPr>
        <w:tblStyle w:val="5"/>
        <w:tblW w:w="15614" w:type="dxa"/>
        <w:tblInd w:w="0" w:type="dxa"/>
        <w:tblLayout w:type="fixed"/>
        <w:tblCellMar>
          <w:top w:w="0" w:type="dxa"/>
          <w:left w:w="108" w:type="dxa"/>
          <w:bottom w:w="0" w:type="dxa"/>
          <w:right w:w="108" w:type="dxa"/>
        </w:tblCellMar>
      </w:tblPr>
      <w:tblGrid>
        <w:gridCol w:w="1339"/>
        <w:gridCol w:w="3366"/>
        <w:gridCol w:w="733"/>
        <w:gridCol w:w="1254"/>
        <w:gridCol w:w="2316"/>
        <w:gridCol w:w="660"/>
        <w:gridCol w:w="1027"/>
        <w:gridCol w:w="4303"/>
        <w:gridCol w:w="616"/>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vAlign w:val="center"/>
          </w:tcPr>
          <w:p>
            <w:pPr>
              <w:widowControl/>
              <w:jc w:val="center"/>
              <w:rPr>
                <w:rFonts w:hint="default" w:ascii="Times New Roman" w:hAnsi="Times New Roman" w:eastAsia="华文中宋" w:cs="Times New Roman"/>
                <w:color w:val="auto"/>
                <w:kern w:val="0"/>
                <w:szCs w:val="32"/>
              </w:rPr>
            </w:pPr>
            <w:bookmarkStart w:id="2" w:name="RANGE!A1:I34"/>
            <w:r>
              <w:rPr>
                <w:rFonts w:hint="default" w:ascii="Times New Roman" w:hAnsi="Times New Roman" w:eastAsia="华文中宋" w:cs="Times New Roman"/>
                <w:color w:val="auto"/>
                <w:kern w:val="0"/>
                <w:szCs w:val="32"/>
              </w:rPr>
              <w:t>一般公共预算财政拨款基本支出决算表</w:t>
            </w:r>
            <w:bookmarkEnd w:id="2"/>
          </w:p>
          <w:p>
            <w:pPr>
              <w:widowControl/>
              <w:wordWrap w:val="0"/>
              <w:jc w:val="righ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部门：</w:t>
            </w:r>
            <w:r>
              <w:rPr>
                <w:rFonts w:hint="default" w:ascii="Times New Roman" w:hAnsi="Times New Roman" w:eastAsia="仿宋_GB2312" w:cs="Times New Roman"/>
                <w:color w:val="auto"/>
                <w:kern w:val="0"/>
                <w:szCs w:val="21"/>
                <w:lang w:val="en-US" w:eastAsia="zh-CN"/>
              </w:rPr>
              <w:t>湖南广播电视网络传输中心                           2020年度</w:t>
            </w:r>
            <w:r>
              <w:rPr>
                <w:rFonts w:hint="default" w:ascii="Times New Roman" w:hAnsi="Times New Roman" w:eastAsia="仿宋_GB2312" w:cs="Times New Roman"/>
                <w:color w:val="auto"/>
                <w:kern w:val="0"/>
                <w:szCs w:val="21"/>
              </w:rPr>
              <w:t xml:space="preserve">                                                                 公开06表</w:t>
            </w:r>
          </w:p>
          <w:p>
            <w:pPr>
              <w:widowControl/>
              <w:ind w:firstLine="14280" w:firstLineChars="6800"/>
              <w:jc w:val="both"/>
              <w:rPr>
                <w:rFonts w:hint="default" w:ascii="Times New Roman" w:hAnsi="Times New Roman" w:eastAsia="华文中宋" w:cs="Times New Roman"/>
                <w:color w:val="auto"/>
                <w:kern w:val="0"/>
                <w:szCs w:val="32"/>
              </w:rPr>
            </w:pPr>
            <w:r>
              <w:rPr>
                <w:rFonts w:hint="default" w:ascii="Times New Roman" w:hAnsi="Times New Roman" w:eastAsia="仿宋_GB2312" w:cs="Times New Roman"/>
                <w:color w:val="auto"/>
                <w:kern w:val="0"/>
                <w:szCs w:val="21"/>
              </w:rPr>
              <w:t xml:space="preserve">单位：万元                                                               </w:t>
            </w:r>
          </w:p>
        </w:tc>
      </w:tr>
      <w:tr>
        <w:tblPrEx>
          <w:tblCellMar>
            <w:top w:w="0" w:type="dxa"/>
            <w:left w:w="108" w:type="dxa"/>
            <w:bottom w:w="0" w:type="dxa"/>
            <w:right w:w="108" w:type="dxa"/>
          </w:tblCellMar>
        </w:tblPrEx>
        <w:trPr>
          <w:trHeight w:val="113" w:hRule="atLeast"/>
        </w:trPr>
        <w:tc>
          <w:tcPr>
            <w:tcW w:w="13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 w:val="20"/>
                <w:szCs w:val="20"/>
              </w:rPr>
              <w:t>经济分类科目编码</w:t>
            </w:r>
          </w:p>
        </w:tc>
        <w:tc>
          <w:tcPr>
            <w:tcW w:w="336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7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12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23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6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c>
          <w:tcPr>
            <w:tcW w:w="10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经济分类科目编码</w:t>
            </w:r>
          </w:p>
        </w:tc>
        <w:tc>
          <w:tcPr>
            <w:tcW w:w="43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科目名称</w:t>
            </w:r>
          </w:p>
        </w:tc>
        <w:tc>
          <w:tcPr>
            <w:tcW w:w="6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决算数</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工资福利支出</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496.97</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商品和服务支出</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45.35</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债务利息及费用支出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基本工资</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99.49</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1.50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30701</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国内债务付息</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津贴补贴</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7.56</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印刷费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9.00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30702</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国外债务付息</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奖金</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14.81</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30203</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咨询费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资本性支出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30106</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伙食补助费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手续费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31001</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房屋建筑物购建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30107</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绩效工资</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135.90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水费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31002</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办公设备购置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30108</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机关事业单位基本养老保险缴费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41.00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电费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31003</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专用设备购置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30109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职业年金缴费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邮电费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1.35</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31005</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基础设施建设</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30110</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职工基本医疗保险缴费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24.66</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取暖费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31006</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大型修缮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公务员医疗补助缴费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30209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物业管理费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31007</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信息网络及软件购置更新</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其他社会保障缴费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6.96</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差旅费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1.50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31008</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物资储备</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住房公积金</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44.70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30212</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因公出国（境）费用</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31009</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土地补偿</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30114</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30213</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维修（护）费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31010</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安置补助</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30199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其他工资福利支出</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121.89</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租赁费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11.06</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31011</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地上附着物和青苗补偿</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对个人和家庭的补助</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29.74</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会议费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31012</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拆迁补偿</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离休费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培训费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0.50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31013</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30302</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退休费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14.30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公务接待费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31019</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其他交通工具购置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30303</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退职（役）费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30218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专用材料费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31021</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文物和陈列品购置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30304</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抚恤金</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30224</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被装购置费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31022</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无形资产购置</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30305</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生活补助</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30225</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专用燃料费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31099</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其他资本性支出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30306</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救济费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30226</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劳务费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7.00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其他支出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30307</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医疗费补助</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30227</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委托业务费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39906</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赠与</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30308</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助学金</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30228</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工会经费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7.00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39907</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国家赔偿费用支出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30309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奖励金</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0.77</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30229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福利费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39908</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对民间非营利组织和群众性自治组织补贴</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30310</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个人农业生产补贴</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30231</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公务用车运行维护费</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1.50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39999</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其他支出</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30311</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代缴社会保险费</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30239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其他交通费用</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2.00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6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Cs w:val="20"/>
              </w:rPr>
            </w:pP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30399</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其他对个人和家庭的补助</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14.67</w:t>
            </w: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30240</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税金及附加费用</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0.00</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6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Cs w:val="20"/>
              </w:rPr>
            </w:pPr>
          </w:p>
        </w:tc>
      </w:tr>
      <w:tr>
        <w:tblPrEx>
          <w:tblCellMar>
            <w:top w:w="0" w:type="dxa"/>
            <w:left w:w="108" w:type="dxa"/>
            <w:bottom w:w="0" w:type="dxa"/>
            <w:right w:w="108" w:type="dxa"/>
          </w:tblCellMar>
        </w:tblPrEx>
        <w:trPr>
          <w:trHeight w:val="284" w:hRule="exact"/>
        </w:trPr>
        <w:tc>
          <w:tcPr>
            <w:tcW w:w="1339"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336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w:t>
            </w:r>
          </w:p>
        </w:tc>
        <w:tc>
          <w:tcPr>
            <w:tcW w:w="733"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Cs w:val="20"/>
              </w:rPr>
            </w:pPr>
          </w:p>
        </w:tc>
        <w:tc>
          <w:tcPr>
            <w:tcW w:w="125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30299</w:t>
            </w:r>
          </w:p>
        </w:tc>
        <w:tc>
          <w:tcPr>
            <w:tcW w:w="231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 xml:space="preserve">  其他商品和服务支出</w:t>
            </w:r>
          </w:p>
        </w:tc>
        <w:tc>
          <w:tcPr>
            <w:tcW w:w="6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2.94</w:t>
            </w:r>
          </w:p>
        </w:tc>
        <w:tc>
          <w:tcPr>
            <w:tcW w:w="10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430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Cs w:val="18"/>
              </w:rPr>
            </w:pPr>
            <w:r>
              <w:rPr>
                <w:rFonts w:hint="default" w:ascii="Times New Roman" w:hAnsi="Times New Roman" w:eastAsia="宋体" w:cs="Times New Roman"/>
                <w:color w:val="auto"/>
                <w:kern w:val="0"/>
                <w:szCs w:val="18"/>
              </w:rPr>
              <w:t>　</w:t>
            </w:r>
          </w:p>
        </w:tc>
        <w:tc>
          <w:tcPr>
            <w:tcW w:w="616" w:type="dxa"/>
            <w:tcBorders>
              <w:top w:val="nil"/>
              <w:left w:val="nil"/>
              <w:bottom w:val="single" w:color="auto" w:sz="4" w:space="0"/>
              <w:right w:val="single" w:color="auto" w:sz="4" w:space="0"/>
            </w:tcBorders>
            <w:shd w:val="clear" w:color="auto" w:fill="auto"/>
            <w:vAlign w:val="center"/>
          </w:tcPr>
          <w:p>
            <w:pPr>
              <w:jc w:val="right"/>
              <w:rPr>
                <w:rFonts w:hint="default" w:ascii="Times New Roman" w:hAnsi="Times New Roman" w:eastAsia="宋体" w:cs="Times New Roman"/>
                <w:color w:val="auto"/>
                <w:kern w:val="0"/>
                <w:szCs w:val="20"/>
              </w:rPr>
            </w:pPr>
          </w:p>
        </w:tc>
      </w:tr>
      <w:tr>
        <w:tblPrEx>
          <w:tblCellMar>
            <w:top w:w="0" w:type="dxa"/>
            <w:left w:w="108" w:type="dxa"/>
            <w:bottom w:w="0" w:type="dxa"/>
            <w:right w:w="108" w:type="dxa"/>
          </w:tblCellMar>
        </w:tblPrEx>
        <w:trPr>
          <w:trHeight w:val="284" w:hRule="exact"/>
        </w:trPr>
        <w:tc>
          <w:tcPr>
            <w:tcW w:w="470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人员经费合计</w:t>
            </w:r>
          </w:p>
        </w:tc>
        <w:tc>
          <w:tcPr>
            <w:tcW w:w="73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20"/>
              </w:rPr>
            </w:pPr>
            <w:r>
              <w:rPr>
                <w:rFonts w:hint="default" w:ascii="Times New Roman" w:hAnsi="Times New Roman" w:eastAsia="宋体" w:cs="Times New Roman"/>
                <w:i w:val="0"/>
                <w:color w:val="auto"/>
                <w:kern w:val="0"/>
                <w:sz w:val="20"/>
                <w:szCs w:val="20"/>
                <w:u w:val="none"/>
                <w:lang w:val="en-US" w:eastAsia="zh-CN" w:bidi="ar"/>
              </w:rPr>
              <w:t>526.72</w:t>
            </w:r>
          </w:p>
        </w:tc>
        <w:tc>
          <w:tcPr>
            <w:tcW w:w="956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Cs w:val="20"/>
              </w:rPr>
            </w:pPr>
            <w:r>
              <w:rPr>
                <w:rFonts w:hint="default" w:ascii="Times New Roman" w:hAnsi="Times New Roman" w:eastAsia="宋体" w:cs="Times New Roman"/>
                <w:color w:val="auto"/>
                <w:kern w:val="0"/>
                <w:szCs w:val="20"/>
              </w:rPr>
              <w:t>公用经费合计</w:t>
            </w:r>
          </w:p>
        </w:tc>
        <w:tc>
          <w:tcPr>
            <w:tcW w:w="61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color w:val="auto"/>
                <w:kern w:val="0"/>
                <w:szCs w:val="18"/>
              </w:rPr>
            </w:pPr>
            <w:r>
              <w:rPr>
                <w:rFonts w:hint="default" w:ascii="Times New Roman" w:hAnsi="Times New Roman" w:eastAsia="宋体" w:cs="Times New Roman"/>
                <w:i w:val="0"/>
                <w:color w:val="auto"/>
                <w:kern w:val="0"/>
                <w:sz w:val="20"/>
                <w:szCs w:val="20"/>
                <w:u w:val="none"/>
                <w:lang w:val="en-US" w:eastAsia="zh-CN" w:bidi="ar"/>
              </w:rPr>
              <w:t>45.35</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Cs w:val="24"/>
              </w:rPr>
            </w:pPr>
            <w:r>
              <w:rPr>
                <w:rFonts w:hint="default" w:ascii="Times New Roman" w:hAnsi="Times New Roman" w:eastAsia="宋体" w:cs="Times New Roman"/>
                <w:color w:val="auto"/>
                <w:kern w:val="0"/>
                <w:szCs w:val="24"/>
              </w:rPr>
              <w:t>注：本表反映部门本年度一般公共预算财政拨款基本支出明细情况。</w:t>
            </w:r>
          </w:p>
        </w:tc>
      </w:tr>
    </w:tbl>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一般公共预算财政拨款“三公”经费支出决算表</w:t>
      </w: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部门：</w:t>
      </w:r>
      <w:r>
        <w:rPr>
          <w:rFonts w:hint="default" w:ascii="Times New Roman" w:hAnsi="Times New Roman" w:eastAsia="仿宋_GB2312" w:cs="Times New Roman"/>
          <w:color w:val="auto"/>
          <w:kern w:val="0"/>
          <w:szCs w:val="21"/>
          <w:lang w:val="en-US" w:eastAsia="zh-CN"/>
        </w:rPr>
        <w:t>湖南广播电视网络传输中心</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lang w:val="en-US" w:eastAsia="zh-CN"/>
        </w:rPr>
        <w:t xml:space="preserve">2020年度                                                 </w:t>
      </w:r>
      <w:r>
        <w:rPr>
          <w:rFonts w:hint="default" w:ascii="Times New Roman" w:hAnsi="Times New Roman" w:eastAsia="仿宋_GB2312" w:cs="Times New Roman"/>
          <w:color w:val="auto"/>
          <w:kern w:val="0"/>
          <w:szCs w:val="21"/>
        </w:rPr>
        <w:t>公开07表</w:t>
      </w:r>
    </w:p>
    <w:p>
      <w:pPr>
        <w:widowControl/>
        <w:ind w:firstLine="13440" w:firstLineChars="64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公务用车</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c>
          <w:tcPr>
            <w:tcW w:w="1220" w:type="dxa"/>
            <w:tcBorders>
              <w:top w:val="nil"/>
              <w:left w:val="nil"/>
              <w:bottom w:val="single" w:color="auto" w:sz="8" w:space="0"/>
              <w:right w:val="nil"/>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1.50</w:t>
            </w:r>
          </w:p>
        </w:tc>
        <w:tc>
          <w:tcPr>
            <w:tcW w:w="1220" w:type="dxa"/>
            <w:tcBorders>
              <w:top w:val="nil"/>
              <w:left w:val="single" w:color="auto" w:sz="4"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仿宋_GB2312" w:cs="Times New Roman"/>
                <w:color w:val="auto"/>
                <w:kern w:val="0"/>
                <w:szCs w:val="21"/>
              </w:rPr>
            </w:pPr>
            <w:r>
              <w:rPr>
                <w:rFonts w:hint="default" w:ascii="Times New Roman" w:hAnsi="Times New Roman" w:eastAsia="宋体" w:cs="Times New Roman"/>
                <w:i w:val="0"/>
                <w:color w:val="auto"/>
                <w:kern w:val="0"/>
                <w:sz w:val="22"/>
                <w:szCs w:val="22"/>
                <w:u w:val="none"/>
                <w:lang w:val="en-US" w:eastAsia="zh-CN" w:bidi="ar"/>
              </w:rPr>
              <w:t>0.00</w:t>
            </w:r>
          </w:p>
        </w:tc>
      </w:tr>
    </w:tbl>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default" w:ascii="Times New Roman" w:hAnsi="Times New Roman" w:eastAsia="宋体" w:cs="Times New Roman"/>
          <w:color w:val="auto"/>
          <w:kern w:val="0"/>
          <w:sz w:val="24"/>
          <w:szCs w:val="24"/>
        </w:rPr>
        <w:br w:type="page"/>
      </w:r>
    </w:p>
    <w:p>
      <w:pPr>
        <w:autoSpaceDE w:val="0"/>
        <w:autoSpaceDN w:val="0"/>
        <w:adjustRightInd w:val="0"/>
        <w:ind w:left="315" w:leftChars="150"/>
        <w:jc w:val="left"/>
        <w:rPr>
          <w:rFonts w:hint="default" w:ascii="Times New Roman" w:hAnsi="Times New Roman" w:eastAsia="宋体" w:cs="Times New Roman"/>
          <w:color w:val="auto"/>
          <w:kern w:val="0"/>
          <w:sz w:val="24"/>
          <w:szCs w:val="24"/>
        </w:rPr>
      </w:pPr>
    </w:p>
    <w:p>
      <w:pPr>
        <w:widowControl/>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政府性基金预算财政拨款收入支出决算表</w:t>
      </w:r>
    </w:p>
    <w:p>
      <w:pPr>
        <w:widowControl/>
        <w:wordWrap w:val="0"/>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 xml:space="preserve">     </w:t>
      </w:r>
      <w:r>
        <w:rPr>
          <w:rFonts w:hint="default" w:ascii="Times New Roman" w:hAnsi="Times New Roman" w:eastAsia="仿宋_GB2312" w:cs="Times New Roman"/>
          <w:color w:val="auto"/>
          <w:kern w:val="0"/>
          <w:szCs w:val="21"/>
        </w:rPr>
        <w:t>部门：</w:t>
      </w:r>
      <w:r>
        <w:rPr>
          <w:rFonts w:hint="default" w:ascii="Times New Roman" w:hAnsi="Times New Roman" w:eastAsia="仿宋_GB2312" w:cs="Times New Roman"/>
          <w:color w:val="auto"/>
          <w:kern w:val="0"/>
          <w:szCs w:val="21"/>
          <w:lang w:val="en-US" w:eastAsia="zh-CN"/>
        </w:rPr>
        <w:t>湖南广播电视网络传输中心</w:t>
      </w:r>
      <w:r>
        <w:rPr>
          <w:rFonts w:hint="default" w:ascii="Times New Roman" w:hAnsi="Times New Roman" w:eastAsia="仿宋_GB2312" w:cs="Times New Roman"/>
          <w:color w:val="auto"/>
          <w:kern w:val="0"/>
          <w:szCs w:val="21"/>
        </w:rPr>
        <w:t xml:space="preserve"> </w:t>
      </w:r>
      <w:r>
        <w:rPr>
          <w:rFonts w:hint="default" w:ascii="Times New Roman" w:hAnsi="Times New Roman" w:eastAsia="仿宋_GB2312" w:cs="Times New Roman"/>
          <w:color w:val="auto"/>
          <w:kern w:val="0"/>
          <w:szCs w:val="21"/>
          <w:lang w:val="en-US" w:eastAsia="zh-CN"/>
        </w:rPr>
        <w:t xml:space="preserve">                             2020年度                                                            </w:t>
      </w:r>
      <w:r>
        <w:rPr>
          <w:rFonts w:hint="default" w:ascii="Times New Roman" w:hAnsi="Times New Roman" w:eastAsia="仿宋_GB2312" w:cs="Times New Roman"/>
          <w:color w:val="auto"/>
          <w:kern w:val="0"/>
          <w:szCs w:val="21"/>
        </w:rPr>
        <w:t>公开08表</w:t>
      </w:r>
      <w:r>
        <w:rPr>
          <w:rFonts w:hint="default" w:ascii="Times New Roman" w:hAnsi="Times New Roman" w:eastAsia="仿宋_GB2312" w:cs="Times New Roman"/>
          <w:color w:val="auto"/>
          <w:kern w:val="0"/>
          <w:szCs w:val="21"/>
          <w:lang w:val="en-US" w:eastAsia="zh-CN"/>
        </w:rPr>
        <w:t xml:space="preserve">                                                                                                                                   </w:t>
      </w:r>
      <w:r>
        <w:rPr>
          <w:rFonts w:hint="default" w:ascii="Times New Roman" w:hAnsi="Times New Roman" w:eastAsia="仿宋_GB2312" w:cs="Times New Roman"/>
          <w:color w:val="auto"/>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    目</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年初结转和结余</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本年收入</w:t>
            </w:r>
          </w:p>
        </w:tc>
        <w:tc>
          <w:tcPr>
            <w:tcW w:w="6000" w:type="dxa"/>
            <w:gridSpan w:val="3"/>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本年支出</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功能分类科目编码</w:t>
            </w:r>
          </w:p>
        </w:tc>
        <w:tc>
          <w:tcPr>
            <w:tcW w:w="132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科目名称</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小计</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 xml:space="preserve">基本支出  </w:t>
            </w:r>
          </w:p>
        </w:tc>
        <w:tc>
          <w:tcPr>
            <w:tcW w:w="2000" w:type="dxa"/>
            <w:vMerge w:val="restart"/>
            <w:shd w:val="clear" w:color="auto" w:fill="auto"/>
            <w:vAlign w:val="center"/>
          </w:tcPr>
          <w:p>
            <w:pPr>
              <w:widowControl/>
              <w:jc w:val="center"/>
              <w:rPr>
                <w:rFonts w:hint="default" w:ascii="Times New Roman" w:hAnsi="Times New Roman" w:eastAsia="仿宋_GB2312" w:cs="Times New Roman"/>
                <w:b/>
                <w:color w:val="auto"/>
                <w:kern w:val="0"/>
                <w:szCs w:val="21"/>
              </w:rPr>
            </w:pPr>
            <w:r>
              <w:rPr>
                <w:rFonts w:hint="default" w:ascii="Times New Roman" w:hAnsi="Times New Roman" w:eastAsia="仿宋_GB2312" w:cs="Times New Roman"/>
                <w:b/>
                <w:color w:val="auto"/>
                <w:kern w:val="0"/>
                <w:szCs w:val="21"/>
              </w:rPr>
              <w:t>项目支出</w:t>
            </w:r>
          </w:p>
        </w:tc>
        <w:tc>
          <w:tcPr>
            <w:tcW w:w="2000" w:type="dxa"/>
            <w:vMerge w:val="continue"/>
            <w:vAlign w:val="center"/>
          </w:tcPr>
          <w:p>
            <w:pPr>
              <w:widowControl/>
              <w:jc w:val="left"/>
              <w:rPr>
                <w:rFonts w:hint="default" w:ascii="Times New Roman" w:hAnsi="Times New Roman" w:eastAsia="仿宋_GB2312" w:cs="Times New Roman"/>
                <w:b/>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132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c>
          <w:tcPr>
            <w:tcW w:w="2000" w:type="dxa"/>
            <w:vMerge w:val="continue"/>
            <w:vAlign w:val="center"/>
          </w:tcPr>
          <w:p>
            <w:pPr>
              <w:widowControl/>
              <w:jc w:val="left"/>
              <w:rPr>
                <w:rFonts w:hint="default" w:ascii="Times New Roman" w:hAnsi="Times New Roman" w:eastAsia="仿宋_GB2312" w:cs="Times New Roman"/>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栏次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2</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4</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合计</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132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c>
          <w:tcPr>
            <w:tcW w:w="2000" w:type="dxa"/>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2"/>
                <w:szCs w:val="22"/>
                <w:lang w:val="en-US" w:eastAsia="zh-CN"/>
              </w:rPr>
              <w:t>无</w:t>
            </w:r>
          </w:p>
        </w:tc>
      </w:tr>
    </w:tbl>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注：本表反映部门本年度政府性基金预算财政拨款收入、支出及结转和结余情况</w:t>
      </w:r>
    </w:p>
    <w:p>
      <w:pPr>
        <w:widowControl/>
        <w:ind w:firstLine="422" w:firstLineChars="200"/>
        <w:jc w:val="left"/>
        <w:rPr>
          <w:rFonts w:hint="default" w:ascii="Times New Roman" w:hAnsi="Times New Roman" w:eastAsia="黑体" w:cs="Times New Roman"/>
          <w:color w:val="auto"/>
          <w:szCs w:val="21"/>
        </w:rPr>
      </w:pPr>
      <w:r>
        <w:rPr>
          <w:rFonts w:hint="default" w:ascii="Times New Roman" w:hAnsi="Times New Roman" w:eastAsia="仿宋_GB2312" w:cs="Times New Roman"/>
          <w:b/>
          <w:bCs/>
          <w:color w:val="auto"/>
          <w:kern w:val="0"/>
          <w:szCs w:val="21"/>
          <w:lang w:val="en-US" w:eastAsia="zh-CN"/>
        </w:rPr>
        <w:t>本部门</w:t>
      </w:r>
      <w:r>
        <w:rPr>
          <w:rFonts w:hint="default" w:ascii="Times New Roman" w:hAnsi="Times New Roman" w:eastAsia="仿宋_GB2312" w:cs="Times New Roman"/>
          <w:b/>
          <w:bCs/>
          <w:color w:val="auto"/>
          <w:kern w:val="0"/>
          <w:szCs w:val="21"/>
        </w:rPr>
        <w:t>没有政府性基金收入，也没有使用政府性基金安排的支出，故本表无数据</w:t>
      </w:r>
      <w:r>
        <w:rPr>
          <w:rFonts w:hint="default" w:ascii="Times New Roman" w:hAnsi="Times New Roman" w:eastAsia="仿宋_GB2312" w:cs="Times New Roman"/>
          <w:b/>
          <w:bCs/>
          <w:color w:val="auto"/>
          <w:kern w:val="0"/>
          <w:szCs w:val="21"/>
          <w:lang w:eastAsia="zh-CN"/>
        </w:rPr>
        <w:t>。</w:t>
      </w:r>
      <w:r>
        <w:rPr>
          <w:rFonts w:hint="default" w:ascii="Times New Roman" w:hAnsi="Times New Roman" w:eastAsia="黑体" w:cs="Times New Roman"/>
          <w:color w:val="auto"/>
          <w:szCs w:val="21"/>
        </w:rPr>
        <w:br w:type="page"/>
      </w: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hint="default" w:ascii="Times New Roman" w:hAnsi="Times New Roman" w:eastAsia="华文中宋" w:cs="Times New Roman"/>
                <w:color w:val="auto"/>
                <w:kern w:val="0"/>
                <w:sz w:val="32"/>
                <w:szCs w:val="32"/>
              </w:rPr>
            </w:pPr>
            <w:r>
              <w:rPr>
                <w:rFonts w:hint="default" w:ascii="Times New Roman" w:hAnsi="Times New Roman" w:eastAsia="华文中宋" w:cs="Times New Roman"/>
                <w:color w:val="auto"/>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5510"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公开09表</w:t>
            </w:r>
          </w:p>
        </w:tc>
      </w:tr>
      <w:tr>
        <w:tblPrEx>
          <w:tblCellMar>
            <w:top w:w="0" w:type="dxa"/>
            <w:left w:w="108" w:type="dxa"/>
            <w:bottom w:w="0" w:type="dxa"/>
            <w:right w:w="108" w:type="dxa"/>
          </w:tblCellMar>
        </w:tblPrEx>
        <w:trPr>
          <w:trHeight w:val="474" w:hRule="atLeast"/>
        </w:trPr>
        <w:tc>
          <w:tcPr>
            <w:tcW w:w="1060" w:type="dxa"/>
            <w:tcBorders>
              <w:top w:val="nil"/>
              <w:left w:val="nil"/>
              <w:bottom w:val="nil"/>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部门：</w:t>
            </w:r>
          </w:p>
        </w:tc>
        <w:tc>
          <w:tcPr>
            <w:tcW w:w="3775" w:type="dxa"/>
            <w:gridSpan w:val="3"/>
            <w:tcBorders>
              <w:top w:val="nil"/>
              <w:left w:val="nil"/>
              <w:bottom w:val="nil"/>
              <w:right w:val="nil"/>
            </w:tcBorders>
            <w:shd w:val="clear" w:color="000000" w:fill="FFFFFF"/>
            <w:vAlign w:val="center"/>
          </w:tcPr>
          <w:p>
            <w:pPr>
              <w:widowControl/>
              <w:jc w:val="both"/>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lang w:val="en-US" w:eastAsia="zh-CN"/>
              </w:rPr>
              <w:t>湖南广播电视网络传输中心</w:t>
            </w:r>
            <w:r>
              <w:rPr>
                <w:rFonts w:hint="default" w:ascii="Times New Roman" w:hAnsi="Times New Roman" w:eastAsia="宋体" w:cs="Times New Roman"/>
                <w:color w:val="auto"/>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　</w:t>
            </w:r>
            <w:r>
              <w:rPr>
                <w:rFonts w:hint="default" w:ascii="Times New Roman" w:hAnsi="Times New Roman" w:eastAsia="宋体" w:cs="Times New Roman"/>
                <w:color w:val="auto"/>
                <w:kern w:val="0"/>
                <w:sz w:val="20"/>
                <w:szCs w:val="20"/>
                <w:lang w:val="en-US" w:eastAsia="zh-CN"/>
              </w:rPr>
              <w:t>2020年度</w:t>
            </w:r>
          </w:p>
        </w:tc>
        <w:tc>
          <w:tcPr>
            <w:tcW w:w="5510" w:type="dxa"/>
            <w:gridSpan w:val="2"/>
            <w:tcBorders>
              <w:top w:val="nil"/>
              <w:left w:val="nil"/>
              <w:bottom w:val="nil"/>
              <w:right w:val="nil"/>
            </w:tcBorders>
            <w:shd w:val="clear" w:color="000000" w:fill="FFFFFF"/>
            <w:vAlign w:val="center"/>
          </w:tcPr>
          <w:p>
            <w:pPr>
              <w:widowControl/>
              <w:jc w:val="right"/>
              <w:rPr>
                <w:rFonts w:hint="default" w:ascii="Times New Roman" w:hAnsi="Times New Roman" w:eastAsia="宋体" w:cs="Times New Roman"/>
                <w:color w:val="auto"/>
                <w:kern w:val="0"/>
                <w:sz w:val="20"/>
                <w:szCs w:val="20"/>
              </w:rPr>
            </w:pPr>
            <w:r>
              <w:rPr>
                <w:rFonts w:hint="default" w:ascii="Times New Roman" w:hAnsi="Times New Roman" w:eastAsia="宋体" w:cs="Times New Roman"/>
                <w:color w:val="auto"/>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项 </w:t>
            </w:r>
            <w:r>
              <w:rPr>
                <w:rFonts w:hint="default" w:ascii="Times New Roman" w:hAnsi="Times New Roman" w:eastAsia="宋体" w:cs="Times New Roman"/>
                <w:color w:val="auto"/>
                <w:kern w:val="0"/>
                <w:sz w:val="22"/>
              </w:rPr>
              <w:t xml:space="preserve">   </w:t>
            </w:r>
            <w:r>
              <w:rPr>
                <w:rFonts w:hint="default" w:ascii="Times New Roman" w:hAnsi="Times New Roman" w:eastAsia="宋体" w:cs="Times New Roman"/>
                <w:color w:val="auto"/>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宋体" w:cs="Times New Roman"/>
                <w:color w:val="auto"/>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0"/>
                <w:szCs w:val="20"/>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c>
          <w:tcPr>
            <w:tcW w:w="3827"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宋体" w:cs="Times New Roman"/>
                <w:color w:val="auto"/>
                <w:kern w:val="0"/>
                <w:sz w:val="24"/>
                <w:szCs w:val="24"/>
              </w:rPr>
            </w:pPr>
            <w:r>
              <w:rPr>
                <w:rFonts w:hint="default" w:ascii="Times New Roman" w:hAnsi="Times New Roman" w:eastAsia="仿宋_GB2312" w:cs="Times New Roman"/>
                <w:color w:val="auto"/>
                <w:kern w:val="0"/>
                <w:sz w:val="22"/>
                <w:szCs w:val="22"/>
                <w:lang w:val="en-US" w:eastAsia="zh-CN"/>
              </w:rPr>
              <w:t>无</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注：本表反映部门本年度国有资本经营预算财政拨款支出情况。</w:t>
            </w:r>
          </w:p>
          <w:p>
            <w:pPr>
              <w:widowControl/>
              <w:ind w:firstLine="482" w:firstLineChars="200"/>
              <w:jc w:val="left"/>
              <w:rPr>
                <w:rFonts w:hint="default" w:ascii="Times New Roman" w:hAnsi="Times New Roman" w:eastAsia="宋体" w:cs="Times New Roman"/>
                <w:color w:val="auto"/>
                <w:kern w:val="0"/>
                <w:sz w:val="24"/>
                <w:szCs w:val="24"/>
              </w:rPr>
            </w:pPr>
            <w:r>
              <w:rPr>
                <w:rFonts w:hint="default" w:ascii="Times New Roman" w:hAnsi="Times New Roman" w:eastAsia="宋体" w:cs="Times New Roman"/>
                <w:b/>
                <w:bCs/>
                <w:color w:val="auto"/>
                <w:kern w:val="0"/>
                <w:sz w:val="24"/>
                <w:szCs w:val="24"/>
              </w:rPr>
              <w:t>本部门本年度</w:t>
            </w:r>
            <w:r>
              <w:rPr>
                <w:rFonts w:hint="default" w:ascii="Times New Roman" w:hAnsi="Times New Roman" w:eastAsia="宋体" w:cs="Times New Roman"/>
                <w:b/>
                <w:bCs/>
                <w:color w:val="auto"/>
                <w:kern w:val="0"/>
                <w:sz w:val="24"/>
                <w:szCs w:val="24"/>
                <w:lang w:val="en-US" w:eastAsia="zh-CN"/>
              </w:rPr>
              <w:t>无</w:t>
            </w:r>
            <w:r>
              <w:rPr>
                <w:rFonts w:hint="default" w:ascii="Times New Roman" w:hAnsi="Times New Roman" w:eastAsia="宋体" w:cs="Times New Roman"/>
                <w:b/>
                <w:bCs/>
                <w:color w:val="auto"/>
                <w:kern w:val="0"/>
                <w:sz w:val="24"/>
                <w:szCs w:val="24"/>
              </w:rPr>
              <w:t>国有资本经营预算财政拨款支出情况</w:t>
            </w:r>
            <w:r>
              <w:rPr>
                <w:rFonts w:hint="default" w:ascii="Times New Roman" w:hAnsi="Times New Roman" w:eastAsia="宋体" w:cs="Times New Roman"/>
                <w:b/>
                <w:bCs/>
                <w:color w:val="auto"/>
                <w:kern w:val="0"/>
                <w:sz w:val="24"/>
                <w:szCs w:val="24"/>
                <w:lang w:eastAsia="zh-CN"/>
              </w:rPr>
              <w:t>，</w:t>
            </w:r>
            <w:r>
              <w:rPr>
                <w:rFonts w:hint="default" w:ascii="Times New Roman" w:hAnsi="Times New Roman" w:eastAsia="宋体" w:cs="Times New Roman"/>
                <w:b/>
                <w:bCs/>
                <w:color w:val="auto"/>
                <w:kern w:val="0"/>
                <w:sz w:val="24"/>
                <w:szCs w:val="24"/>
                <w:lang w:val="en-US" w:eastAsia="zh-CN"/>
              </w:rPr>
              <w:t>故本表无数据。</w:t>
            </w:r>
          </w:p>
        </w:tc>
      </w:tr>
    </w:tbl>
    <w:p>
      <w:pPr>
        <w:pStyle w:val="9"/>
        <w:rPr>
          <w:rFonts w:hint="default" w:ascii="Times New Roman" w:hAnsi="Times New Roman" w:cs="Times New Roman"/>
          <w:color w:val="auto"/>
          <w:sz w:val="72"/>
          <w:szCs w:val="72"/>
        </w:rPr>
        <w:sectPr>
          <w:pgSz w:w="16838" w:h="11906" w:orient="landscape"/>
          <w:pgMar w:top="720" w:right="720" w:bottom="720" w:left="720" w:header="851" w:footer="992" w:gutter="0"/>
          <w:cols w:space="425" w:num="1"/>
          <w:docGrid w:type="lines" w:linePitch="312" w:charSpace="0"/>
        </w:sectPr>
      </w:pPr>
    </w:p>
    <w:p>
      <w:pPr>
        <w:pStyle w:val="9"/>
        <w:rPr>
          <w:rFonts w:hint="default" w:ascii="Times New Roman" w:hAnsi="Times New Roman" w:cs="Times New Roman"/>
          <w:color w:val="auto"/>
          <w:sz w:val="72"/>
          <w:szCs w:val="72"/>
        </w:rPr>
      </w:pPr>
    </w:p>
    <w:p>
      <w:pPr>
        <w:pStyle w:val="9"/>
        <w:rPr>
          <w:rFonts w:hint="default" w:ascii="Times New Roman" w:hAnsi="Times New Roman" w:cs="Times New Roman"/>
          <w:color w:val="auto"/>
          <w:sz w:val="72"/>
          <w:szCs w:val="72"/>
        </w:rPr>
      </w:pPr>
    </w:p>
    <w:p>
      <w:pPr>
        <w:pStyle w:val="9"/>
        <w:rPr>
          <w:rFonts w:hint="default" w:ascii="Times New Roman" w:hAnsi="Times New Roman" w:cs="Times New Roman"/>
          <w:color w:val="auto"/>
          <w:sz w:val="72"/>
          <w:szCs w:val="72"/>
        </w:rPr>
      </w:pPr>
    </w:p>
    <w:p>
      <w:pPr>
        <w:pStyle w:val="9"/>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r>
        <w:rPr>
          <w:rFonts w:hint="default" w:ascii="Times New Roman" w:hAnsi="Times New Roman" w:cs="Times New Roman"/>
          <w:color w:val="auto"/>
          <w:sz w:val="72"/>
          <w:szCs w:val="72"/>
        </w:rPr>
        <w:t>第三部分</w:t>
      </w: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r>
        <w:rPr>
          <w:rFonts w:hint="default" w:ascii="Times New Roman" w:hAnsi="Times New Roman" w:cs="Times New Roman"/>
          <w:color w:val="auto"/>
          <w:sz w:val="70"/>
          <w:szCs w:val="70"/>
        </w:rPr>
        <w:t>2020年度部门决算</w:t>
      </w:r>
      <w:r>
        <w:rPr>
          <w:rFonts w:hint="default" w:ascii="Times New Roman" w:hAnsi="Times New Roman" w:cs="Times New Roman"/>
          <w:color w:val="auto"/>
          <w:sz w:val="70"/>
          <w:szCs w:val="70"/>
          <w:lang w:val="en-US" w:eastAsia="zh-CN"/>
        </w:rPr>
        <w:t xml:space="preserve">      </w:t>
      </w:r>
      <w:r>
        <w:rPr>
          <w:rFonts w:hint="default" w:ascii="Times New Roman" w:hAnsi="Times New Roman" w:cs="Times New Roman"/>
          <w:color w:val="auto"/>
          <w:sz w:val="70"/>
          <w:szCs w:val="70"/>
        </w:rPr>
        <w:t>情况说明</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cs="Times New Roman"/>
          <w:color w:val="auto"/>
          <w:sz w:val="70"/>
          <w:szCs w:val="70"/>
        </w:rPr>
        <w:br w:type="page"/>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一、收入支出决算总体情况说明</w:t>
      </w:r>
    </w:p>
    <w:p>
      <w:pPr>
        <w:pStyle w:val="9"/>
        <w:ind w:firstLine="646" w:firstLineChars="200"/>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2020年度收、支总计</w:t>
      </w:r>
      <w:r>
        <w:rPr>
          <w:rFonts w:hint="default" w:ascii="Times New Roman" w:hAnsi="Times New Roman" w:eastAsia="仿宋" w:cs="Times New Roman"/>
          <w:color w:val="auto"/>
          <w:sz w:val="32"/>
          <w:szCs w:val="32"/>
          <w:lang w:eastAsia="zh-CN"/>
        </w:rPr>
        <w:t>均为</w:t>
      </w:r>
      <w:r>
        <w:rPr>
          <w:rFonts w:hint="default" w:ascii="Times New Roman" w:hAnsi="Times New Roman" w:eastAsia="仿宋" w:cs="Times New Roman"/>
          <w:color w:val="auto"/>
          <w:sz w:val="32"/>
          <w:szCs w:val="32"/>
          <w:lang w:val="en-US" w:eastAsia="zh-CN"/>
        </w:rPr>
        <w:t>1305.04</w:t>
      </w:r>
      <w:r>
        <w:rPr>
          <w:rFonts w:hint="default" w:ascii="Times New Roman" w:hAnsi="Times New Roman" w:eastAsia="仿宋" w:cs="Times New Roman"/>
          <w:color w:val="auto"/>
          <w:sz w:val="32"/>
          <w:szCs w:val="32"/>
        </w:rPr>
        <w:t>万元。与上年相比，减少</w:t>
      </w:r>
      <w:r>
        <w:rPr>
          <w:rFonts w:hint="default" w:ascii="Times New Roman" w:hAnsi="Times New Roman" w:eastAsia="仿宋" w:cs="Times New Roman"/>
          <w:color w:val="auto"/>
          <w:sz w:val="32"/>
          <w:szCs w:val="32"/>
          <w:lang w:val="en-US" w:eastAsia="zh-CN"/>
        </w:rPr>
        <w:t>727.7</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减少</w:t>
      </w:r>
      <w:r>
        <w:rPr>
          <w:rFonts w:hint="default" w:ascii="Times New Roman" w:hAnsi="Times New Roman" w:eastAsia="仿宋" w:cs="Times New Roman"/>
          <w:color w:val="auto"/>
          <w:sz w:val="32"/>
          <w:szCs w:val="32"/>
          <w:lang w:val="en-US" w:eastAsia="zh-CN"/>
        </w:rPr>
        <w:t>35.8</w:t>
      </w:r>
      <w:r>
        <w:rPr>
          <w:rFonts w:hint="default" w:ascii="Times New Roman" w:hAnsi="Times New Roman" w:eastAsia="仿宋" w:cs="Times New Roman"/>
          <w:color w:val="auto"/>
          <w:sz w:val="32"/>
          <w:szCs w:val="32"/>
        </w:rPr>
        <w:t>%，主要</w:t>
      </w:r>
      <w:r>
        <w:rPr>
          <w:rFonts w:hint="default" w:ascii="Times New Roman" w:hAnsi="Times New Roman" w:eastAsia="仿宋" w:cs="Times New Roman"/>
          <w:color w:val="auto"/>
          <w:sz w:val="32"/>
          <w:szCs w:val="32"/>
          <w:lang w:val="en-US" w:eastAsia="zh-CN"/>
        </w:rPr>
        <w:t>原因一是经营收入较上年减少，上年度经营收入中包含了以前年度未收回款项；二是本年度年初财政结转额较上年度减少，本年度项目资金执行率更高。</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二、收入决算情况说明</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本年收入合计</w:t>
      </w:r>
      <w:r>
        <w:rPr>
          <w:rFonts w:hint="default" w:ascii="Times New Roman" w:hAnsi="Times New Roman" w:eastAsia="仿宋" w:cs="Times New Roman"/>
          <w:color w:val="auto"/>
          <w:sz w:val="32"/>
          <w:szCs w:val="32"/>
          <w:lang w:val="en-US" w:eastAsia="zh-CN"/>
        </w:rPr>
        <w:t>1151.71</w:t>
      </w:r>
      <w:r>
        <w:rPr>
          <w:rFonts w:hint="default" w:ascii="Times New Roman" w:hAnsi="Times New Roman" w:eastAsia="仿宋" w:cs="Times New Roman"/>
          <w:color w:val="auto"/>
          <w:sz w:val="32"/>
          <w:szCs w:val="32"/>
        </w:rPr>
        <w:t>万元，其中：财政拨款收入</w:t>
      </w:r>
      <w:r>
        <w:rPr>
          <w:rFonts w:hint="default" w:ascii="Times New Roman" w:hAnsi="Times New Roman" w:eastAsia="仿宋" w:cs="Times New Roman"/>
          <w:color w:val="auto"/>
          <w:sz w:val="32"/>
          <w:szCs w:val="32"/>
          <w:lang w:val="en-US" w:eastAsia="zh-CN"/>
        </w:rPr>
        <w:t>963.19</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83.64</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上级补助收入0万元，占0%；事业收入0万元，占0%；</w:t>
      </w:r>
      <w:r>
        <w:rPr>
          <w:rFonts w:hint="default" w:ascii="Times New Roman" w:hAnsi="Times New Roman" w:eastAsia="仿宋" w:cs="Times New Roman"/>
          <w:color w:val="auto"/>
          <w:sz w:val="32"/>
          <w:szCs w:val="32"/>
        </w:rPr>
        <w:t>经营收入</w:t>
      </w:r>
      <w:r>
        <w:rPr>
          <w:rFonts w:hint="default" w:ascii="Times New Roman" w:hAnsi="Times New Roman" w:eastAsia="仿宋" w:cs="Times New Roman"/>
          <w:color w:val="auto"/>
          <w:sz w:val="32"/>
          <w:szCs w:val="32"/>
          <w:lang w:val="en-US" w:eastAsia="zh-CN"/>
        </w:rPr>
        <w:t>187.28</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16.26</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附属单位上缴收入0万元，占比0%；</w:t>
      </w:r>
      <w:r>
        <w:rPr>
          <w:rFonts w:hint="default" w:ascii="Times New Roman" w:hAnsi="Times New Roman" w:eastAsia="仿宋" w:cs="Times New Roman"/>
          <w:color w:val="auto"/>
          <w:sz w:val="32"/>
          <w:szCs w:val="32"/>
        </w:rPr>
        <w:t>其他收入</w:t>
      </w:r>
      <w:r>
        <w:rPr>
          <w:rFonts w:hint="default" w:ascii="Times New Roman" w:hAnsi="Times New Roman" w:eastAsia="仿宋" w:cs="Times New Roman"/>
          <w:color w:val="auto"/>
          <w:sz w:val="32"/>
          <w:szCs w:val="32"/>
          <w:lang w:val="en-US" w:eastAsia="zh-CN"/>
        </w:rPr>
        <w:t>1.24</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0.1</w:t>
      </w:r>
      <w:r>
        <w:rPr>
          <w:rFonts w:hint="default" w:ascii="Times New Roman" w:hAnsi="Times New Roman" w:eastAsia="仿宋" w:cs="Times New Roman"/>
          <w:color w:val="auto"/>
          <w:sz w:val="32"/>
          <w:szCs w:val="32"/>
        </w:rPr>
        <w:t>%。</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三、支出决算情况说明</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本年支出合计</w:t>
      </w:r>
      <w:r>
        <w:rPr>
          <w:rFonts w:hint="default" w:ascii="Times New Roman" w:hAnsi="Times New Roman" w:eastAsia="仿宋" w:cs="Times New Roman"/>
          <w:color w:val="auto"/>
          <w:sz w:val="32"/>
          <w:szCs w:val="32"/>
          <w:lang w:val="en-US" w:eastAsia="zh-CN"/>
        </w:rPr>
        <w:t>1088.33</w:t>
      </w:r>
      <w:r>
        <w:rPr>
          <w:rFonts w:hint="default" w:ascii="Times New Roman" w:hAnsi="Times New Roman" w:eastAsia="仿宋" w:cs="Times New Roman"/>
          <w:color w:val="auto"/>
          <w:sz w:val="32"/>
          <w:szCs w:val="32"/>
        </w:rPr>
        <w:t>万元，其中：基本支出</w:t>
      </w:r>
      <w:r>
        <w:rPr>
          <w:rFonts w:hint="default" w:ascii="Times New Roman" w:hAnsi="Times New Roman" w:eastAsia="仿宋" w:cs="Times New Roman"/>
          <w:color w:val="auto"/>
          <w:sz w:val="32"/>
          <w:szCs w:val="32"/>
          <w:lang w:val="en-US" w:eastAsia="zh-CN"/>
        </w:rPr>
        <w:t>707.19</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64.98</w:t>
      </w:r>
      <w:r>
        <w:rPr>
          <w:rFonts w:hint="default" w:ascii="Times New Roman" w:hAnsi="Times New Roman" w:eastAsia="仿宋" w:cs="Times New Roman"/>
          <w:color w:val="auto"/>
          <w:sz w:val="32"/>
          <w:szCs w:val="32"/>
        </w:rPr>
        <w:t>%；项目支出</w:t>
      </w:r>
      <w:r>
        <w:rPr>
          <w:rFonts w:hint="default" w:ascii="Times New Roman" w:hAnsi="Times New Roman" w:eastAsia="仿宋" w:cs="Times New Roman"/>
          <w:color w:val="auto"/>
          <w:sz w:val="32"/>
          <w:szCs w:val="32"/>
          <w:lang w:val="en-US" w:eastAsia="zh-CN"/>
        </w:rPr>
        <w:t>315.64</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29</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上缴上级支出0万元，占0%；</w:t>
      </w:r>
      <w:r>
        <w:rPr>
          <w:rFonts w:hint="default" w:ascii="Times New Roman" w:hAnsi="Times New Roman" w:eastAsia="仿宋" w:cs="Times New Roman"/>
          <w:color w:val="auto"/>
          <w:sz w:val="32"/>
          <w:szCs w:val="32"/>
        </w:rPr>
        <w:t>经营支出</w:t>
      </w:r>
      <w:r>
        <w:rPr>
          <w:rFonts w:hint="default" w:ascii="Times New Roman" w:hAnsi="Times New Roman" w:eastAsia="仿宋" w:cs="Times New Roman"/>
          <w:color w:val="auto"/>
          <w:sz w:val="32"/>
          <w:szCs w:val="32"/>
          <w:lang w:val="en-US" w:eastAsia="zh-CN"/>
        </w:rPr>
        <w:t>65.5</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6.02</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对附属单位补助支出0万元，占0%。</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四、财政拨款收入支出决算总体情况说明</w:t>
      </w:r>
    </w:p>
    <w:p>
      <w:pPr>
        <w:pStyle w:val="9"/>
        <w:ind w:firstLine="640"/>
        <w:rPr>
          <w:rFonts w:hint="default" w:ascii="Times New Roman" w:hAnsi="Times New Roman" w:eastAsia="仿宋" w:cs="Times New Roman"/>
          <w:color w:val="auto"/>
          <w:sz w:val="32"/>
          <w:szCs w:val="32"/>
          <w:lang w:val="en-US" w:eastAsia="zh-CN"/>
        </w:rPr>
      </w:pPr>
      <w:r>
        <w:rPr>
          <w:rFonts w:hint="default" w:ascii="Times New Roman" w:hAnsi="Times New Roman" w:cs="Times New Roman" w:eastAsiaTheme="minorEastAsia"/>
          <w:color w:val="auto"/>
          <w:sz w:val="32"/>
          <w:szCs w:val="32"/>
        </w:rPr>
        <w:t xml:space="preserve"> </w:t>
      </w:r>
      <w:r>
        <w:rPr>
          <w:rFonts w:hint="default" w:ascii="Times New Roman" w:hAnsi="Times New Roman" w:eastAsia="仿宋" w:cs="Times New Roman"/>
          <w:color w:val="auto"/>
          <w:sz w:val="32"/>
          <w:szCs w:val="32"/>
        </w:rPr>
        <w:t>2020年度财政拨款收、支总计</w:t>
      </w:r>
      <w:r>
        <w:rPr>
          <w:rFonts w:hint="default" w:ascii="Times New Roman" w:hAnsi="Times New Roman" w:eastAsia="仿宋" w:cs="Times New Roman"/>
          <w:color w:val="auto"/>
          <w:sz w:val="32"/>
          <w:szCs w:val="32"/>
          <w:lang w:val="en-US" w:eastAsia="zh-CN"/>
        </w:rPr>
        <w:t>均为977.84</w:t>
      </w:r>
      <w:r>
        <w:rPr>
          <w:rFonts w:hint="default" w:ascii="Times New Roman" w:hAnsi="Times New Roman" w:eastAsia="仿宋" w:cs="Times New Roman"/>
          <w:color w:val="auto"/>
          <w:sz w:val="32"/>
          <w:szCs w:val="32"/>
        </w:rPr>
        <w:t>万元，与上年相比，减少</w:t>
      </w:r>
      <w:r>
        <w:rPr>
          <w:rFonts w:hint="default" w:ascii="Times New Roman" w:hAnsi="Times New Roman" w:eastAsia="仿宋" w:cs="Times New Roman"/>
          <w:color w:val="auto"/>
          <w:sz w:val="32"/>
          <w:szCs w:val="32"/>
          <w:lang w:val="en-US" w:eastAsia="zh-CN"/>
        </w:rPr>
        <w:t>426.1</w:t>
      </w:r>
      <w:r>
        <w:rPr>
          <w:rFonts w:hint="default" w:ascii="Times New Roman" w:hAnsi="Times New Roman" w:eastAsia="仿宋" w:cs="Times New Roman"/>
          <w:color w:val="auto"/>
          <w:sz w:val="32"/>
          <w:szCs w:val="32"/>
        </w:rPr>
        <w:t>万元,减少</w:t>
      </w:r>
      <w:r>
        <w:rPr>
          <w:rFonts w:hint="default" w:ascii="Times New Roman" w:hAnsi="Times New Roman" w:eastAsia="仿宋" w:cs="Times New Roman"/>
          <w:color w:val="auto"/>
          <w:sz w:val="32"/>
          <w:szCs w:val="32"/>
          <w:lang w:val="en-US" w:eastAsia="zh-CN"/>
        </w:rPr>
        <w:t>30.35</w:t>
      </w:r>
      <w:r>
        <w:rPr>
          <w:rFonts w:hint="default" w:ascii="Times New Roman" w:hAnsi="Times New Roman" w:eastAsia="仿宋" w:cs="Times New Roman"/>
          <w:color w:val="auto"/>
          <w:sz w:val="32"/>
          <w:szCs w:val="32"/>
        </w:rPr>
        <w:t>%，主要是因为</w:t>
      </w:r>
      <w:r>
        <w:rPr>
          <w:rFonts w:hint="default" w:ascii="Times New Roman" w:hAnsi="Times New Roman" w:eastAsia="仿宋" w:cs="Times New Roman"/>
          <w:color w:val="auto"/>
          <w:sz w:val="32"/>
          <w:szCs w:val="32"/>
          <w:lang w:val="en-US" w:eastAsia="zh-CN"/>
        </w:rPr>
        <w:t>本年度年初财政拨款结转和结余较上年减少。</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五、一般公共预算财政拨款支出决算情况说明</w:t>
      </w:r>
    </w:p>
    <w:p>
      <w:pPr>
        <w:pStyle w:val="9"/>
        <w:ind w:firstLine="646" w:firstLineChars="20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（一）财政拨款支出决算总体情况</w:t>
      </w:r>
    </w:p>
    <w:p>
      <w:pPr>
        <w:pStyle w:val="9"/>
        <w:ind w:firstLine="807" w:firstLineChars="2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2020年度财政拨款支出</w:t>
      </w:r>
      <w:r>
        <w:rPr>
          <w:rFonts w:hint="default" w:ascii="Times New Roman" w:hAnsi="Times New Roman" w:eastAsia="仿宋" w:cs="Times New Roman"/>
          <w:color w:val="auto"/>
          <w:sz w:val="32"/>
          <w:szCs w:val="32"/>
          <w:lang w:val="en-US" w:eastAsia="zh-CN"/>
        </w:rPr>
        <w:t>887.71</w:t>
      </w:r>
      <w:r>
        <w:rPr>
          <w:rFonts w:hint="default" w:ascii="Times New Roman" w:hAnsi="Times New Roman" w:eastAsia="仿宋" w:cs="Times New Roman"/>
          <w:color w:val="auto"/>
          <w:sz w:val="32"/>
          <w:szCs w:val="32"/>
        </w:rPr>
        <w:t>万元，占本年支出合计的</w:t>
      </w:r>
      <w:r>
        <w:rPr>
          <w:rFonts w:hint="default" w:ascii="Times New Roman" w:hAnsi="Times New Roman" w:eastAsia="仿宋" w:cs="Times New Roman"/>
          <w:color w:val="auto"/>
          <w:sz w:val="32"/>
          <w:szCs w:val="32"/>
          <w:lang w:val="en-US" w:eastAsia="zh-CN"/>
        </w:rPr>
        <w:t>81.57</w:t>
      </w:r>
      <w:r>
        <w:rPr>
          <w:rFonts w:hint="default" w:ascii="Times New Roman" w:hAnsi="Times New Roman" w:eastAsia="仿宋" w:cs="Times New Roman"/>
          <w:color w:val="auto"/>
          <w:sz w:val="32"/>
          <w:szCs w:val="32"/>
        </w:rPr>
        <w:t>%，与上年相比，财政拨款支出减少</w:t>
      </w:r>
      <w:r>
        <w:rPr>
          <w:rFonts w:hint="default" w:ascii="Times New Roman" w:hAnsi="Times New Roman" w:eastAsia="仿宋" w:cs="Times New Roman"/>
          <w:color w:val="auto"/>
          <w:sz w:val="32"/>
          <w:szCs w:val="32"/>
          <w:lang w:val="en-US" w:eastAsia="zh-CN"/>
        </w:rPr>
        <w:t>180.78</w:t>
      </w:r>
      <w:r>
        <w:rPr>
          <w:rFonts w:hint="default" w:ascii="Times New Roman" w:hAnsi="Times New Roman" w:eastAsia="仿宋" w:cs="Times New Roman"/>
          <w:color w:val="auto"/>
          <w:sz w:val="32"/>
          <w:szCs w:val="32"/>
        </w:rPr>
        <w:t>万元，减少</w:t>
      </w:r>
      <w:r>
        <w:rPr>
          <w:rFonts w:hint="default" w:ascii="Times New Roman" w:hAnsi="Times New Roman" w:eastAsia="仿宋" w:cs="Times New Roman"/>
          <w:color w:val="auto"/>
          <w:sz w:val="32"/>
          <w:szCs w:val="32"/>
          <w:lang w:val="en-US" w:eastAsia="zh-CN"/>
        </w:rPr>
        <w:t>16.92</w:t>
      </w:r>
      <w:r>
        <w:rPr>
          <w:rFonts w:hint="default" w:ascii="Times New Roman" w:hAnsi="Times New Roman" w:eastAsia="仿宋" w:cs="Times New Roman"/>
          <w:color w:val="auto"/>
          <w:sz w:val="32"/>
          <w:szCs w:val="32"/>
        </w:rPr>
        <w:t>%，主要是因为</w:t>
      </w:r>
      <w:r>
        <w:rPr>
          <w:rFonts w:hint="default" w:ascii="Times New Roman" w:hAnsi="Times New Roman" w:eastAsia="仿宋" w:cs="Times New Roman"/>
          <w:color w:val="auto"/>
          <w:sz w:val="32"/>
          <w:szCs w:val="32"/>
          <w:lang w:val="en-US" w:eastAsia="zh-CN"/>
        </w:rPr>
        <w:t>本年度资本性支出较上年减少，上年度资本性支出主要为机房大型修缮和消防改造项目支出。</w:t>
      </w:r>
    </w:p>
    <w:p>
      <w:pPr>
        <w:pStyle w:val="9"/>
        <w:ind w:firstLine="484" w:firstLineChars="15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（二）财政拨款支出决算结构情况</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2020年度财政拨款支出</w:t>
      </w:r>
      <w:r>
        <w:rPr>
          <w:rFonts w:hint="default" w:ascii="Times New Roman" w:hAnsi="Times New Roman" w:eastAsia="仿宋" w:cs="Times New Roman"/>
          <w:color w:val="auto"/>
          <w:sz w:val="32"/>
          <w:szCs w:val="32"/>
          <w:lang w:val="en-US" w:eastAsia="zh-CN"/>
        </w:rPr>
        <w:t>887.71</w:t>
      </w:r>
      <w:r>
        <w:rPr>
          <w:rFonts w:hint="default" w:ascii="Times New Roman" w:hAnsi="Times New Roman" w:eastAsia="仿宋" w:cs="Times New Roman"/>
          <w:color w:val="auto"/>
          <w:sz w:val="32"/>
          <w:szCs w:val="32"/>
        </w:rPr>
        <w:t>万元，主要用于以下方面：文化旅游体育与传媒</w:t>
      </w:r>
      <w:r>
        <w:rPr>
          <w:rFonts w:hint="default" w:ascii="Times New Roman" w:hAnsi="Times New Roman" w:eastAsia="仿宋" w:cs="Times New Roman"/>
          <w:color w:val="auto"/>
          <w:sz w:val="32"/>
          <w:szCs w:val="32"/>
          <w:lang w:val="en-US" w:eastAsia="zh-CN"/>
        </w:rPr>
        <w:t>(类）</w:t>
      </w:r>
      <w:r>
        <w:rPr>
          <w:rFonts w:hint="default" w:ascii="Times New Roman" w:hAnsi="Times New Roman" w:eastAsia="仿宋" w:cs="Times New Roman"/>
          <w:color w:val="auto"/>
          <w:sz w:val="32"/>
          <w:szCs w:val="32"/>
        </w:rPr>
        <w:t>支出</w:t>
      </w:r>
      <w:r>
        <w:rPr>
          <w:rFonts w:hint="default" w:ascii="Times New Roman" w:hAnsi="Times New Roman" w:eastAsia="仿宋" w:cs="Times New Roman"/>
          <w:color w:val="auto"/>
          <w:sz w:val="32"/>
          <w:szCs w:val="32"/>
          <w:lang w:val="en-US" w:eastAsia="zh-CN"/>
        </w:rPr>
        <w:t>846.71</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95.38</w:t>
      </w:r>
      <w:r>
        <w:rPr>
          <w:rFonts w:hint="default" w:ascii="Times New Roman" w:hAnsi="Times New Roman" w:eastAsia="仿宋" w:cs="Times New Roman"/>
          <w:color w:val="auto"/>
          <w:sz w:val="32"/>
          <w:szCs w:val="32"/>
        </w:rPr>
        <w:t>%；社会保障和就业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类）</w:t>
      </w:r>
      <w:r>
        <w:rPr>
          <w:rFonts w:hint="default" w:ascii="Times New Roman" w:hAnsi="Times New Roman" w:eastAsia="仿宋" w:cs="Times New Roman"/>
          <w:color w:val="auto"/>
          <w:sz w:val="32"/>
          <w:szCs w:val="32"/>
        </w:rPr>
        <w:t>支出</w:t>
      </w:r>
      <w:r>
        <w:rPr>
          <w:rFonts w:hint="default" w:ascii="Times New Roman" w:hAnsi="Times New Roman" w:eastAsia="仿宋" w:cs="Times New Roman"/>
          <w:color w:val="auto"/>
          <w:sz w:val="32"/>
          <w:szCs w:val="32"/>
          <w:lang w:val="en-US" w:eastAsia="zh-CN"/>
        </w:rPr>
        <w:t>41</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4.62%。</w:t>
      </w:r>
    </w:p>
    <w:p>
      <w:pPr>
        <w:pStyle w:val="9"/>
        <w:ind w:firstLine="807" w:firstLineChars="250"/>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（三）财政拨款支出决算具体情况</w:t>
      </w:r>
    </w:p>
    <w:p>
      <w:pPr>
        <w:pStyle w:val="9"/>
        <w:ind w:firstLine="807" w:firstLineChars="2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2020年度财政拨款支出年初预算数为</w:t>
      </w:r>
      <w:r>
        <w:rPr>
          <w:rFonts w:hint="default" w:ascii="Times New Roman" w:hAnsi="Times New Roman" w:eastAsia="仿宋" w:cs="Times New Roman"/>
          <w:color w:val="auto"/>
          <w:sz w:val="32"/>
          <w:szCs w:val="32"/>
          <w:lang w:val="en-US" w:eastAsia="zh-CN"/>
        </w:rPr>
        <w:t>627.76</w:t>
      </w:r>
      <w:r>
        <w:rPr>
          <w:rFonts w:hint="default" w:ascii="Times New Roman" w:hAnsi="Times New Roman" w:eastAsia="仿宋" w:cs="Times New Roman"/>
          <w:color w:val="auto"/>
          <w:sz w:val="32"/>
          <w:szCs w:val="32"/>
        </w:rPr>
        <w:t>万元，支出决算数为</w:t>
      </w:r>
      <w:r>
        <w:rPr>
          <w:rFonts w:hint="default" w:ascii="Times New Roman" w:hAnsi="Times New Roman" w:eastAsia="仿宋" w:cs="Times New Roman"/>
          <w:color w:val="auto"/>
          <w:sz w:val="32"/>
          <w:szCs w:val="32"/>
          <w:lang w:val="en-US" w:eastAsia="zh-CN"/>
        </w:rPr>
        <w:t>887.71</w:t>
      </w:r>
      <w:r>
        <w:rPr>
          <w:rFonts w:hint="default" w:ascii="Times New Roman" w:hAnsi="Times New Roman" w:eastAsia="仿宋" w:cs="Times New Roman"/>
          <w:color w:val="auto"/>
          <w:sz w:val="32"/>
          <w:szCs w:val="32"/>
        </w:rPr>
        <w:t>万元，完成年初预算的</w:t>
      </w:r>
      <w:r>
        <w:rPr>
          <w:rFonts w:hint="default" w:ascii="Times New Roman" w:hAnsi="Times New Roman" w:eastAsia="仿宋" w:cs="Times New Roman"/>
          <w:color w:val="auto"/>
          <w:sz w:val="32"/>
          <w:szCs w:val="32"/>
          <w:lang w:val="en-US" w:eastAsia="zh-CN"/>
        </w:rPr>
        <w:t>141.41</w:t>
      </w:r>
      <w:r>
        <w:rPr>
          <w:rFonts w:hint="default" w:ascii="Times New Roman" w:hAnsi="Times New Roman" w:eastAsia="仿宋" w:cs="Times New Roman"/>
          <w:color w:val="auto"/>
          <w:sz w:val="32"/>
          <w:szCs w:val="32"/>
        </w:rPr>
        <w:t>%，其中：</w:t>
      </w:r>
    </w:p>
    <w:p>
      <w:pPr>
        <w:pStyle w:val="9"/>
        <w:ind w:firstLine="807" w:firstLineChars="25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文化旅游体育与传媒支出（类）广播电视（款）其他广播电视支出（项）</w:t>
      </w:r>
      <w:r>
        <w:rPr>
          <w:rFonts w:hint="default" w:ascii="Times New Roman" w:hAnsi="Times New Roman" w:eastAsia="仿宋" w:cs="Times New Roman"/>
          <w:color w:val="auto"/>
          <w:sz w:val="32"/>
          <w:szCs w:val="32"/>
          <w:lang w:eastAsia="zh-CN"/>
        </w:rPr>
        <w:t>。</w:t>
      </w:r>
    </w:p>
    <w:p>
      <w:pPr>
        <w:pStyle w:val="9"/>
        <w:numPr>
          <w:ilvl w:val="0"/>
          <w:numId w:val="0"/>
        </w:numPr>
        <w:ind w:firstLine="646" w:firstLineChars="2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年初预算为</w:t>
      </w:r>
      <w:r>
        <w:rPr>
          <w:rFonts w:hint="default" w:ascii="Times New Roman" w:hAnsi="Times New Roman" w:eastAsia="仿宋" w:cs="Times New Roman"/>
          <w:color w:val="auto"/>
          <w:sz w:val="32"/>
          <w:szCs w:val="32"/>
          <w:lang w:val="en-US" w:eastAsia="zh-CN"/>
        </w:rPr>
        <w:t>586.76</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564.86</w:t>
      </w:r>
      <w:r>
        <w:rPr>
          <w:rFonts w:hint="default" w:ascii="Times New Roman" w:hAnsi="Times New Roman" w:eastAsia="仿宋" w:cs="Times New Roman"/>
          <w:color w:val="auto"/>
          <w:sz w:val="32"/>
          <w:szCs w:val="32"/>
        </w:rPr>
        <w:t>万元，完成年初预算</w:t>
      </w:r>
      <w:r>
        <w:rPr>
          <w:rFonts w:hint="default" w:ascii="Times New Roman" w:hAnsi="Times New Roman" w:eastAsia="仿宋" w:cs="Times New Roman"/>
          <w:color w:val="auto"/>
          <w:sz w:val="32"/>
          <w:szCs w:val="32"/>
          <w:lang w:val="en-US" w:eastAsia="zh-CN"/>
        </w:rPr>
        <w:t>的96.27</w:t>
      </w:r>
      <w:r>
        <w:rPr>
          <w:rFonts w:hint="default" w:ascii="Times New Roman" w:hAnsi="Times New Roman" w:eastAsia="仿宋" w:cs="Times New Roman"/>
          <w:color w:val="auto"/>
          <w:sz w:val="32"/>
          <w:szCs w:val="32"/>
        </w:rPr>
        <w:t>%，决算数</w:t>
      </w:r>
      <w:r>
        <w:rPr>
          <w:rFonts w:hint="default" w:ascii="Times New Roman" w:hAnsi="Times New Roman" w:eastAsia="仿宋" w:cs="Times New Roman"/>
          <w:color w:val="auto"/>
          <w:sz w:val="32"/>
          <w:szCs w:val="32"/>
          <w:lang w:val="en-US" w:eastAsia="zh-CN"/>
        </w:rPr>
        <w:t>小</w:t>
      </w:r>
      <w:r>
        <w:rPr>
          <w:rFonts w:hint="default" w:ascii="Times New Roman" w:hAnsi="Times New Roman" w:eastAsia="仿宋" w:cs="Times New Roman"/>
          <w:color w:val="auto"/>
          <w:sz w:val="32"/>
          <w:szCs w:val="32"/>
        </w:rPr>
        <w:t>于年初预算数的主要原因是</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年中根据中央关于过“紧日子”的重要决策部署，压减扣回部门一般性支出资金。</w:t>
      </w:r>
    </w:p>
    <w:p>
      <w:pPr>
        <w:pStyle w:val="9"/>
        <w:numPr>
          <w:ilvl w:val="0"/>
          <w:numId w:val="2"/>
        </w:numPr>
        <w:ind w:firstLine="969" w:firstLineChars="30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rPr>
        <w:t>文化旅游体育与传媒支出（类）</w:t>
      </w:r>
      <w:r>
        <w:rPr>
          <w:rFonts w:hint="default" w:ascii="Times New Roman" w:hAnsi="Times New Roman" w:eastAsia="仿宋" w:cs="Times New Roman"/>
          <w:color w:val="auto"/>
          <w:sz w:val="32"/>
          <w:szCs w:val="32"/>
          <w:lang w:val="en-US" w:eastAsia="zh-CN"/>
        </w:rPr>
        <w:t>其他</w:t>
      </w:r>
      <w:r>
        <w:rPr>
          <w:rFonts w:hint="default" w:ascii="Times New Roman" w:hAnsi="Times New Roman" w:eastAsia="仿宋" w:cs="Times New Roman"/>
          <w:color w:val="auto"/>
          <w:sz w:val="32"/>
          <w:szCs w:val="32"/>
        </w:rPr>
        <w:t>文化旅游体育与传媒支出（</w:t>
      </w:r>
      <w:r>
        <w:rPr>
          <w:rFonts w:hint="default" w:ascii="Times New Roman" w:hAnsi="Times New Roman" w:eastAsia="仿宋" w:cs="Times New Roman"/>
          <w:color w:val="auto"/>
          <w:sz w:val="32"/>
          <w:szCs w:val="32"/>
          <w:lang w:val="en-US" w:eastAsia="zh-CN"/>
        </w:rPr>
        <w:t>款</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val="en-US" w:eastAsia="zh-CN"/>
        </w:rPr>
        <w:t>其他</w:t>
      </w:r>
      <w:r>
        <w:rPr>
          <w:rFonts w:hint="default" w:ascii="Times New Roman" w:hAnsi="Times New Roman" w:eastAsia="仿宋" w:cs="Times New Roman"/>
          <w:color w:val="auto"/>
          <w:sz w:val="32"/>
          <w:szCs w:val="32"/>
        </w:rPr>
        <w:t>文化旅游体育与传媒支出</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项）。</w:t>
      </w:r>
    </w:p>
    <w:p>
      <w:pPr>
        <w:pStyle w:val="9"/>
        <w:numPr>
          <w:ilvl w:val="0"/>
          <w:numId w:val="0"/>
        </w:numPr>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 xml:space="preserve">   年初预算为0万元，支出决算为281.85万元，决算数大于年初预算数的主要原因是：年中追加了公共文化服务体系建设绩效奖励（主要用于县级平台维护及租赁支出）和有线数字电视监管平台提质改造工程项目资金。</w:t>
      </w:r>
    </w:p>
    <w:p>
      <w:pPr>
        <w:pStyle w:val="9"/>
        <w:ind w:firstLine="807" w:firstLineChars="2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、社会保障和就业支出（类）行政事业单位离退休（款）机关事业单位基本养老保险缴费支出（项）。</w:t>
      </w:r>
    </w:p>
    <w:p>
      <w:pPr>
        <w:pStyle w:val="9"/>
        <w:ind w:firstLine="807" w:firstLineChars="25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年初预算为</w:t>
      </w:r>
      <w:r>
        <w:rPr>
          <w:rFonts w:hint="default" w:ascii="Times New Roman" w:hAnsi="Times New Roman" w:eastAsia="仿宋" w:cs="Times New Roman"/>
          <w:color w:val="auto"/>
          <w:sz w:val="32"/>
          <w:szCs w:val="32"/>
          <w:lang w:val="en-US" w:eastAsia="zh-CN"/>
        </w:rPr>
        <w:t>41</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41</w:t>
      </w:r>
      <w:r>
        <w:rPr>
          <w:rFonts w:hint="default" w:ascii="Times New Roman" w:hAnsi="Times New Roman" w:eastAsia="仿宋" w:cs="Times New Roman"/>
          <w:color w:val="auto"/>
          <w:sz w:val="32"/>
          <w:szCs w:val="32"/>
        </w:rPr>
        <w:t>万元，完成年初预算的</w:t>
      </w:r>
      <w:r>
        <w:rPr>
          <w:rFonts w:hint="default" w:ascii="Times New Roman" w:hAnsi="Times New Roman" w:eastAsia="仿宋" w:cs="Times New Roman"/>
          <w:color w:val="auto"/>
          <w:sz w:val="32"/>
          <w:szCs w:val="32"/>
          <w:lang w:val="en-US" w:eastAsia="zh-CN"/>
        </w:rPr>
        <w:t>100</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六、一般公共预算财政拨款基本支出决算情况说明</w:t>
      </w:r>
    </w:p>
    <w:p>
      <w:pPr>
        <w:pStyle w:val="9"/>
        <w:numPr>
          <w:ilvl w:val="0"/>
          <w:numId w:val="0"/>
        </w:numPr>
        <w:ind w:firstLine="969" w:firstLineChars="3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2020年度财政拨款基本支出</w:t>
      </w:r>
      <w:r>
        <w:rPr>
          <w:rFonts w:hint="default" w:ascii="Times New Roman" w:hAnsi="Times New Roman" w:eastAsia="仿宋" w:cs="Times New Roman"/>
          <w:color w:val="auto"/>
          <w:sz w:val="32"/>
          <w:szCs w:val="32"/>
          <w:lang w:val="en-US" w:eastAsia="zh-CN"/>
        </w:rPr>
        <w:t>572.07</w:t>
      </w:r>
      <w:r>
        <w:rPr>
          <w:rFonts w:hint="default" w:ascii="Times New Roman" w:hAnsi="Times New Roman" w:eastAsia="仿宋" w:cs="Times New Roman"/>
          <w:color w:val="auto"/>
          <w:sz w:val="32"/>
          <w:szCs w:val="32"/>
        </w:rPr>
        <w:t>万元，其中：人员经费</w:t>
      </w:r>
      <w:r>
        <w:rPr>
          <w:rFonts w:hint="default" w:ascii="Times New Roman" w:hAnsi="Times New Roman" w:eastAsia="仿宋" w:cs="Times New Roman"/>
          <w:color w:val="auto"/>
          <w:sz w:val="32"/>
          <w:szCs w:val="32"/>
          <w:lang w:val="en-US" w:eastAsia="zh-CN"/>
        </w:rPr>
        <w:t>526.72</w:t>
      </w:r>
      <w:r>
        <w:rPr>
          <w:rFonts w:hint="default" w:ascii="Times New Roman" w:hAnsi="Times New Roman" w:eastAsia="仿宋" w:cs="Times New Roman"/>
          <w:color w:val="auto"/>
          <w:sz w:val="32"/>
          <w:szCs w:val="32"/>
        </w:rPr>
        <w:t>万元，占基本支出的</w:t>
      </w:r>
      <w:r>
        <w:rPr>
          <w:rFonts w:hint="default" w:ascii="Times New Roman" w:hAnsi="Times New Roman" w:eastAsia="仿宋" w:cs="Times New Roman"/>
          <w:color w:val="auto"/>
          <w:sz w:val="32"/>
          <w:szCs w:val="32"/>
          <w:lang w:val="en-US" w:eastAsia="zh-CN"/>
        </w:rPr>
        <w:t>92.07</w:t>
      </w:r>
      <w:r>
        <w:rPr>
          <w:rFonts w:hint="default" w:ascii="Times New Roman" w:hAnsi="Times New Roman" w:eastAsia="仿宋" w:cs="Times New Roman"/>
          <w:color w:val="auto"/>
          <w:sz w:val="32"/>
          <w:szCs w:val="32"/>
        </w:rPr>
        <w:t>%,主要包括基本工资、津贴补贴、奖金、绩效工资、机关事业单位基本养老保险缴费、</w:t>
      </w:r>
      <w:r>
        <w:rPr>
          <w:rFonts w:hint="default" w:ascii="Times New Roman" w:hAnsi="Times New Roman" w:eastAsia="仿宋" w:cs="Times New Roman"/>
          <w:color w:val="auto"/>
          <w:sz w:val="32"/>
          <w:szCs w:val="32"/>
          <w:lang w:val="en-US" w:eastAsia="zh-CN"/>
        </w:rPr>
        <w:t>职工基本医疗保险缴费、</w:t>
      </w:r>
      <w:r>
        <w:rPr>
          <w:rFonts w:hint="default" w:ascii="Times New Roman" w:hAnsi="Times New Roman" w:eastAsia="仿宋" w:cs="Times New Roman"/>
          <w:color w:val="auto"/>
          <w:sz w:val="32"/>
          <w:szCs w:val="32"/>
        </w:rPr>
        <w:t>其他社会保障缴费、职业年金缴费、住房公积金、其他工资福利支出、退休费</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奖励金、其他对个人和家庭的补助支出等；公用经费</w:t>
      </w:r>
      <w:r>
        <w:rPr>
          <w:rFonts w:hint="default" w:ascii="Times New Roman" w:hAnsi="Times New Roman" w:eastAsia="仿宋" w:cs="Times New Roman"/>
          <w:color w:val="auto"/>
          <w:sz w:val="32"/>
          <w:szCs w:val="32"/>
          <w:lang w:val="en-US" w:eastAsia="zh-CN"/>
        </w:rPr>
        <w:t>45.35</w:t>
      </w:r>
      <w:r>
        <w:rPr>
          <w:rFonts w:hint="default" w:ascii="Times New Roman" w:hAnsi="Times New Roman" w:eastAsia="仿宋" w:cs="Times New Roman"/>
          <w:color w:val="auto"/>
          <w:sz w:val="32"/>
          <w:szCs w:val="32"/>
        </w:rPr>
        <w:t>万元，占基本支出的</w:t>
      </w:r>
      <w:r>
        <w:rPr>
          <w:rFonts w:hint="default" w:ascii="Times New Roman" w:hAnsi="Times New Roman" w:eastAsia="仿宋" w:cs="Times New Roman"/>
          <w:color w:val="auto"/>
          <w:sz w:val="32"/>
          <w:szCs w:val="32"/>
          <w:lang w:val="en-US" w:eastAsia="zh-CN"/>
        </w:rPr>
        <w:t>7.93</w:t>
      </w:r>
      <w:r>
        <w:rPr>
          <w:rFonts w:hint="default" w:ascii="Times New Roman" w:hAnsi="Times New Roman" w:eastAsia="仿宋" w:cs="Times New Roman"/>
          <w:color w:val="auto"/>
          <w:sz w:val="32"/>
          <w:szCs w:val="32"/>
        </w:rPr>
        <w:t>%，主要包括办公费、印刷费、邮电费、差旅费、租赁费、培训费、劳务费、工会经费、公务用车运行维护费、其他交通费用、其他商品和服务支出等。</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七、一般公共预算财政拨款三公经费支出决算情况说明</w:t>
      </w:r>
    </w:p>
    <w:p>
      <w:pPr>
        <w:pStyle w:val="9"/>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（一）“三公”经费财政拨款支出决算总体情况说明</w:t>
      </w:r>
    </w:p>
    <w:p>
      <w:pPr>
        <w:pStyle w:val="9"/>
        <w:ind w:firstLine="807" w:firstLineChars="25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“三公”经费财政拨款支出预算为</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万元，完成预算的</w:t>
      </w:r>
      <w:r>
        <w:rPr>
          <w:rFonts w:hint="default" w:ascii="Times New Roman" w:hAnsi="Times New Roman" w:eastAsia="仿宋" w:cs="Times New Roman"/>
          <w:color w:val="auto"/>
          <w:sz w:val="32"/>
          <w:szCs w:val="32"/>
          <w:lang w:val="en-US" w:eastAsia="zh-CN"/>
        </w:rPr>
        <w:t>100</w:t>
      </w:r>
      <w:r>
        <w:rPr>
          <w:rFonts w:hint="default" w:ascii="Times New Roman" w:hAnsi="Times New Roman" w:eastAsia="仿宋" w:cs="Times New Roman"/>
          <w:color w:val="auto"/>
          <w:sz w:val="32"/>
          <w:szCs w:val="32"/>
        </w:rPr>
        <w:t>%，其中：</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因公出国（境）费支出预算为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与上年相比无变化。</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公务接待费支出预算为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与上年相比无变化。</w:t>
      </w:r>
    </w:p>
    <w:p>
      <w:pPr>
        <w:pStyle w:val="9"/>
        <w:ind w:firstLine="646" w:firstLineChars="200"/>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公务用车购置费及运行维护费支出预算为</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万元，支出决算为</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万元，完成预算的</w:t>
      </w:r>
      <w:r>
        <w:rPr>
          <w:rFonts w:hint="default" w:ascii="Times New Roman" w:hAnsi="Times New Roman" w:eastAsia="仿宋" w:cs="Times New Roman"/>
          <w:color w:val="auto"/>
          <w:sz w:val="32"/>
          <w:szCs w:val="32"/>
          <w:lang w:val="en-US" w:eastAsia="zh-CN"/>
        </w:rPr>
        <w:t>100</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lang w:val="en-US" w:eastAsia="zh-CN"/>
        </w:rPr>
        <w:t>与上年相比减少1.5万元，减少的原因为本年根据公车改革处置1台车辆，费用相应减少。</w:t>
      </w:r>
    </w:p>
    <w:p>
      <w:pPr>
        <w:pStyle w:val="9"/>
        <w:rPr>
          <w:rFonts w:hint="default" w:ascii="Times New Roman" w:hAnsi="Times New Roman" w:cs="Times New Roman" w:eastAsiaTheme="minorEastAsia"/>
          <w:b/>
          <w:color w:val="auto"/>
          <w:sz w:val="32"/>
          <w:szCs w:val="32"/>
        </w:rPr>
      </w:pPr>
      <w:r>
        <w:rPr>
          <w:rFonts w:hint="default" w:ascii="Times New Roman" w:hAnsi="Times New Roman" w:cs="Times New Roman" w:eastAsiaTheme="minorEastAsia"/>
          <w:b/>
          <w:color w:val="auto"/>
          <w:sz w:val="32"/>
          <w:szCs w:val="32"/>
        </w:rPr>
        <w:t>（二）“三公”经费财政拨款支出决算具体情况说明</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2020年度“三公”经费财政拨款支出决算中，公务接待费支出决算</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占0%；</w:t>
      </w:r>
      <w:r>
        <w:rPr>
          <w:rFonts w:hint="default" w:ascii="Times New Roman" w:hAnsi="Times New Roman" w:eastAsia="仿宋" w:cs="Times New Roman"/>
          <w:color w:val="auto"/>
          <w:sz w:val="32"/>
          <w:szCs w:val="32"/>
        </w:rPr>
        <w:t>因公出国（境）费支出决算</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占0%；</w:t>
      </w:r>
      <w:r>
        <w:rPr>
          <w:rFonts w:hint="default" w:ascii="Times New Roman" w:hAnsi="Times New Roman" w:eastAsia="仿宋" w:cs="Times New Roman"/>
          <w:color w:val="auto"/>
          <w:sz w:val="32"/>
          <w:szCs w:val="32"/>
        </w:rPr>
        <w:t>公务用车购置费及运行维护费支出决算</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万元，占</w:t>
      </w:r>
      <w:r>
        <w:rPr>
          <w:rFonts w:hint="default" w:ascii="Times New Roman" w:hAnsi="Times New Roman" w:eastAsia="仿宋" w:cs="Times New Roman"/>
          <w:color w:val="auto"/>
          <w:sz w:val="32"/>
          <w:szCs w:val="32"/>
          <w:lang w:val="en-US" w:eastAsia="zh-CN"/>
        </w:rPr>
        <w:t>100</w:t>
      </w:r>
      <w:r>
        <w:rPr>
          <w:rFonts w:hint="default" w:ascii="Times New Roman" w:hAnsi="Times New Roman" w:eastAsia="仿宋" w:cs="Times New Roman"/>
          <w:color w:val="auto"/>
          <w:sz w:val="32"/>
          <w:szCs w:val="32"/>
        </w:rPr>
        <w:t>%。其中：</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1、</w:t>
      </w:r>
      <w:r>
        <w:rPr>
          <w:rFonts w:hint="default" w:ascii="Times New Roman" w:hAnsi="Times New Roman" w:eastAsia="仿宋" w:cs="Times New Roman"/>
          <w:color w:val="auto"/>
          <w:sz w:val="32"/>
          <w:szCs w:val="32"/>
        </w:rPr>
        <w:t>因公出国（境）费支出决算为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eastAsia="zh-CN"/>
        </w:rPr>
        <w:t>。</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2、公务接待费支出决算为</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万元。</w:t>
      </w:r>
    </w:p>
    <w:p>
      <w:pPr>
        <w:ind w:firstLine="646" w:firstLineChars="200"/>
        <w:rPr>
          <w:rFonts w:hint="default" w:ascii="Times New Roman" w:hAnsi="Times New Roman" w:cs="Times New Roman"/>
          <w:color w:val="auto"/>
          <w:kern w:val="0"/>
          <w:sz w:val="32"/>
          <w:szCs w:val="32"/>
        </w:rPr>
      </w:pPr>
      <w:r>
        <w:rPr>
          <w:rFonts w:hint="default" w:ascii="Times New Roman" w:hAnsi="Times New Roman" w:cs="Times New Roman"/>
          <w:color w:val="auto"/>
          <w:sz w:val="32"/>
          <w:szCs w:val="32"/>
        </w:rPr>
        <w:t>3、</w:t>
      </w:r>
      <w:r>
        <w:rPr>
          <w:rFonts w:hint="default" w:ascii="Times New Roman" w:hAnsi="Times New Roman" w:eastAsia="仿宋" w:cs="Times New Roman"/>
          <w:color w:val="auto"/>
          <w:sz w:val="32"/>
          <w:szCs w:val="32"/>
        </w:rPr>
        <w:t>公务用车购置费及运行维护费支出决算为</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万元，其中：</w:t>
      </w:r>
      <w:r>
        <w:rPr>
          <w:rFonts w:hint="default" w:ascii="Times New Roman" w:hAnsi="Times New Roman" w:eastAsia="仿宋" w:cs="Times New Roman"/>
          <w:color w:val="auto"/>
          <w:sz w:val="32"/>
          <w:szCs w:val="32"/>
          <w:lang w:val="en-US" w:eastAsia="zh-CN"/>
        </w:rPr>
        <w:t>公务用车购置费0万元；</w:t>
      </w:r>
      <w:r>
        <w:rPr>
          <w:rFonts w:hint="default" w:ascii="Times New Roman" w:hAnsi="Times New Roman" w:eastAsia="仿宋" w:cs="Times New Roman"/>
          <w:color w:val="auto"/>
          <w:sz w:val="32"/>
          <w:szCs w:val="32"/>
        </w:rPr>
        <w:t>公务用车运行维护费</w:t>
      </w:r>
      <w:r>
        <w:rPr>
          <w:rFonts w:hint="default" w:ascii="Times New Roman" w:hAnsi="Times New Roman" w:eastAsia="仿宋" w:cs="Times New Roman"/>
          <w:color w:val="auto"/>
          <w:sz w:val="32"/>
          <w:szCs w:val="32"/>
          <w:lang w:val="en-US" w:eastAsia="zh-CN"/>
        </w:rPr>
        <w:t>1.5</w:t>
      </w:r>
      <w:r>
        <w:rPr>
          <w:rFonts w:hint="default" w:ascii="Times New Roman" w:hAnsi="Times New Roman" w:eastAsia="仿宋" w:cs="Times New Roman"/>
          <w:color w:val="auto"/>
          <w:sz w:val="32"/>
          <w:szCs w:val="32"/>
        </w:rPr>
        <w:t>万元，主要是业务用车的燃料费、维修维护费、保险费等支出。截止2020年12月31日，我单位开支财政拨款的公务用车保有量为</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辆。</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八、政府性基金预算收入支出决算情况</w:t>
      </w:r>
    </w:p>
    <w:p>
      <w:pPr>
        <w:pStyle w:val="9"/>
        <w:ind w:firstLine="640"/>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本部门2020年度无政府性基金预算收入支出安排。</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九、关于机关运行经费支出说明</w:t>
      </w:r>
    </w:p>
    <w:p>
      <w:pPr>
        <w:pStyle w:val="9"/>
        <w:ind w:firstLine="646" w:firstLineChars="200"/>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rPr>
        <w:t>本</w:t>
      </w:r>
      <w:r>
        <w:rPr>
          <w:rFonts w:hint="default" w:ascii="Times New Roman" w:hAnsi="Times New Roman" w:eastAsia="仿宋" w:cs="Times New Roman"/>
          <w:color w:val="auto"/>
          <w:sz w:val="32"/>
          <w:szCs w:val="32"/>
          <w:lang w:val="en-US" w:eastAsia="zh-CN"/>
        </w:rPr>
        <w:t>部门</w:t>
      </w:r>
      <w:r>
        <w:rPr>
          <w:rFonts w:hint="default" w:ascii="Times New Roman" w:hAnsi="Times New Roman" w:eastAsia="仿宋" w:cs="Times New Roman"/>
          <w:color w:val="auto"/>
          <w:sz w:val="32"/>
          <w:szCs w:val="32"/>
        </w:rPr>
        <w:t>2020年度</w:t>
      </w:r>
      <w:r>
        <w:rPr>
          <w:rFonts w:hint="default" w:ascii="Times New Roman" w:hAnsi="Times New Roman" w:eastAsia="仿宋" w:cs="Times New Roman"/>
          <w:color w:val="auto"/>
          <w:sz w:val="32"/>
          <w:szCs w:val="32"/>
          <w:lang w:val="en-US" w:eastAsia="zh-CN"/>
        </w:rPr>
        <w:t>无</w:t>
      </w:r>
      <w:r>
        <w:rPr>
          <w:rFonts w:hint="default" w:ascii="Times New Roman" w:hAnsi="Times New Roman" w:eastAsia="仿宋" w:cs="Times New Roman"/>
          <w:color w:val="auto"/>
          <w:sz w:val="32"/>
          <w:szCs w:val="32"/>
        </w:rPr>
        <w:t>机关运行经费支出</w:t>
      </w:r>
      <w:r>
        <w:rPr>
          <w:rFonts w:hint="default" w:ascii="Times New Roman" w:hAnsi="Times New Roman" w:eastAsia="仿宋" w:cs="Times New Roman"/>
          <w:color w:val="auto"/>
          <w:sz w:val="32"/>
          <w:szCs w:val="32"/>
          <w:lang w:eastAsia="zh-CN"/>
        </w:rPr>
        <w:t>。</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十、一般性支出情况</w:t>
      </w:r>
    </w:p>
    <w:p>
      <w:pPr>
        <w:pStyle w:val="9"/>
        <w:ind w:firstLine="646" w:firstLineChars="200"/>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sz w:val="32"/>
          <w:szCs w:val="32"/>
        </w:rPr>
        <w:t>2020年本部门开支</w:t>
      </w:r>
      <w:r>
        <w:rPr>
          <w:rFonts w:hint="default" w:ascii="Times New Roman" w:hAnsi="Times New Roman" w:eastAsia="仿宋" w:cs="Times New Roman"/>
          <w:color w:val="auto"/>
          <w:sz w:val="32"/>
          <w:szCs w:val="32"/>
          <w:lang w:val="en-US" w:eastAsia="zh-CN"/>
        </w:rPr>
        <w:t>会议费0万元；开支</w:t>
      </w:r>
      <w:r>
        <w:rPr>
          <w:rFonts w:hint="default" w:ascii="Times New Roman" w:hAnsi="Times New Roman" w:eastAsia="仿宋" w:cs="Times New Roman"/>
          <w:color w:val="auto"/>
          <w:sz w:val="32"/>
          <w:szCs w:val="32"/>
        </w:rPr>
        <w:t>培训费</w:t>
      </w:r>
      <w:r>
        <w:rPr>
          <w:rFonts w:hint="default" w:ascii="Times New Roman" w:hAnsi="Times New Roman" w:eastAsia="仿宋" w:cs="Times New Roman"/>
          <w:color w:val="auto"/>
          <w:sz w:val="32"/>
          <w:szCs w:val="32"/>
          <w:lang w:val="en-US" w:eastAsia="zh-CN"/>
        </w:rPr>
        <w:t>0.5</w:t>
      </w:r>
      <w:r>
        <w:rPr>
          <w:rFonts w:hint="default" w:ascii="Times New Roman" w:hAnsi="Times New Roman" w:eastAsia="仿宋" w:cs="Times New Roman"/>
          <w:color w:val="auto"/>
          <w:sz w:val="32"/>
          <w:szCs w:val="32"/>
        </w:rPr>
        <w:t>万元，用于</w:t>
      </w:r>
      <w:r>
        <w:rPr>
          <w:rFonts w:hint="default" w:ascii="Times New Roman" w:hAnsi="Times New Roman" w:eastAsia="仿宋" w:cs="Times New Roman"/>
          <w:color w:val="auto"/>
          <w:sz w:val="32"/>
          <w:szCs w:val="32"/>
          <w:lang w:val="en-US" w:eastAsia="zh-CN"/>
        </w:rPr>
        <w:t>本单位职工业务</w:t>
      </w:r>
      <w:r>
        <w:rPr>
          <w:rFonts w:hint="default" w:ascii="Times New Roman" w:hAnsi="Times New Roman" w:eastAsia="仿宋" w:cs="Times New Roman"/>
          <w:color w:val="auto"/>
          <w:sz w:val="32"/>
          <w:szCs w:val="32"/>
        </w:rPr>
        <w:t>培训</w:t>
      </w:r>
      <w:r>
        <w:rPr>
          <w:rFonts w:hint="default" w:ascii="Times New Roman" w:hAnsi="Times New Roman" w:eastAsia="仿宋" w:cs="Times New Roman"/>
          <w:color w:val="auto"/>
          <w:sz w:val="32"/>
          <w:szCs w:val="32"/>
          <w:lang w:val="en-US" w:eastAsia="zh-CN"/>
        </w:rPr>
        <w:t>和会计继续教育培训</w:t>
      </w:r>
      <w:r>
        <w:rPr>
          <w:rFonts w:hint="default" w:ascii="Times New Roman" w:hAnsi="Times New Roman" w:eastAsia="仿宋" w:cs="Times New Roman"/>
          <w:color w:val="auto"/>
          <w:sz w:val="32"/>
          <w:szCs w:val="32"/>
        </w:rPr>
        <w:t>，人数</w:t>
      </w: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人</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highlight w:val="none"/>
          <w:lang w:eastAsia="zh-CN"/>
        </w:rPr>
        <w:t>本部门未开展节庆、晚会、赛事活动，相关开支</w:t>
      </w:r>
      <w:r>
        <w:rPr>
          <w:rFonts w:hint="default" w:ascii="Times New Roman" w:hAnsi="Times New Roman" w:eastAsia="仿宋" w:cs="Times New Roman"/>
          <w:color w:val="auto"/>
          <w:sz w:val="32"/>
          <w:szCs w:val="32"/>
          <w:highlight w:val="none"/>
          <w:lang w:val="en-US" w:eastAsia="zh-CN"/>
        </w:rPr>
        <w:t>0万元。</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十一、关于政府采购支出说明</w:t>
      </w:r>
    </w:p>
    <w:p>
      <w:pPr>
        <w:pStyle w:val="9"/>
        <w:ind w:firstLine="646" w:firstLineChars="200"/>
        <w:rPr>
          <w:rFonts w:hint="default" w:ascii="Times New Roman" w:hAnsi="Times New Roman" w:cs="Times New Roman" w:eastAsiaTheme="minorEastAsia"/>
          <w:color w:val="auto"/>
          <w:sz w:val="32"/>
          <w:szCs w:val="32"/>
        </w:rPr>
      </w:pPr>
      <w:r>
        <w:rPr>
          <w:rFonts w:hint="default" w:ascii="Times New Roman" w:hAnsi="Times New Roman" w:eastAsia="仿宋" w:cs="Times New Roman"/>
          <w:color w:val="auto"/>
          <w:sz w:val="32"/>
          <w:szCs w:val="32"/>
        </w:rPr>
        <w:t>本部门2020年度政府采购支出总额</w:t>
      </w:r>
      <w:r>
        <w:rPr>
          <w:rFonts w:hint="default" w:ascii="Times New Roman" w:hAnsi="Times New Roman" w:eastAsia="仿宋" w:cs="Times New Roman"/>
          <w:color w:val="auto"/>
          <w:sz w:val="32"/>
          <w:szCs w:val="32"/>
          <w:lang w:val="en-US" w:eastAsia="zh-CN"/>
        </w:rPr>
        <w:t>202.57</w:t>
      </w:r>
      <w:r>
        <w:rPr>
          <w:rFonts w:hint="default" w:ascii="Times New Roman" w:hAnsi="Times New Roman" w:eastAsia="仿宋" w:cs="Times New Roman"/>
          <w:color w:val="auto"/>
          <w:sz w:val="32"/>
          <w:szCs w:val="32"/>
        </w:rPr>
        <w:t>万元，其中：政府采购货物支出</w:t>
      </w:r>
      <w:r>
        <w:rPr>
          <w:rFonts w:hint="default" w:ascii="Times New Roman" w:hAnsi="Times New Roman" w:eastAsia="仿宋" w:cs="Times New Roman"/>
          <w:color w:val="auto"/>
          <w:sz w:val="32"/>
          <w:szCs w:val="32"/>
          <w:lang w:val="en-US" w:eastAsia="zh-CN"/>
        </w:rPr>
        <w:t>0.72</w:t>
      </w:r>
      <w:r>
        <w:rPr>
          <w:rFonts w:hint="default" w:ascii="Times New Roman" w:hAnsi="Times New Roman" w:eastAsia="仿宋" w:cs="Times New Roman"/>
          <w:color w:val="auto"/>
          <w:sz w:val="32"/>
          <w:szCs w:val="32"/>
        </w:rPr>
        <w:t>万元、</w:t>
      </w:r>
      <w:r>
        <w:rPr>
          <w:rFonts w:hint="default" w:ascii="Times New Roman" w:hAnsi="Times New Roman" w:eastAsia="仿宋" w:cs="Times New Roman"/>
          <w:color w:val="auto"/>
          <w:sz w:val="32"/>
          <w:szCs w:val="32"/>
          <w:lang w:val="en-US" w:eastAsia="zh-CN"/>
        </w:rPr>
        <w:t>政府采购工程支出0万元、</w:t>
      </w:r>
      <w:r>
        <w:rPr>
          <w:rFonts w:hint="default" w:ascii="Times New Roman" w:hAnsi="Times New Roman" w:eastAsia="仿宋" w:cs="Times New Roman"/>
          <w:color w:val="auto"/>
          <w:sz w:val="32"/>
          <w:szCs w:val="32"/>
        </w:rPr>
        <w:t>政府采购服务支出</w:t>
      </w:r>
      <w:r>
        <w:rPr>
          <w:rFonts w:hint="default" w:ascii="Times New Roman" w:hAnsi="Times New Roman" w:eastAsia="仿宋" w:cs="Times New Roman"/>
          <w:color w:val="auto"/>
          <w:sz w:val="32"/>
          <w:szCs w:val="32"/>
          <w:lang w:val="en-US" w:eastAsia="zh-CN"/>
        </w:rPr>
        <w:t>201.85</w:t>
      </w:r>
      <w:r>
        <w:rPr>
          <w:rFonts w:hint="default" w:ascii="Times New Roman" w:hAnsi="Times New Roman" w:eastAsia="仿宋" w:cs="Times New Roman"/>
          <w:color w:val="auto"/>
          <w:sz w:val="32"/>
          <w:szCs w:val="32"/>
        </w:rPr>
        <w:t>万元。授予中小企业合同金额</w:t>
      </w:r>
      <w:r>
        <w:rPr>
          <w:rFonts w:hint="default" w:ascii="Times New Roman" w:hAnsi="Times New Roman" w:eastAsia="仿宋" w:cs="Times New Roman"/>
          <w:color w:val="auto"/>
          <w:sz w:val="32"/>
          <w:szCs w:val="32"/>
          <w:lang w:val="en-US" w:eastAsia="zh-CN"/>
        </w:rPr>
        <w:t>0.72</w:t>
      </w:r>
      <w:r>
        <w:rPr>
          <w:rFonts w:hint="default" w:ascii="Times New Roman" w:hAnsi="Times New Roman" w:eastAsia="仿宋" w:cs="Times New Roman"/>
          <w:color w:val="auto"/>
          <w:sz w:val="32"/>
          <w:szCs w:val="32"/>
        </w:rPr>
        <w:t>万元，占政府采购支出总额的</w:t>
      </w:r>
      <w:r>
        <w:rPr>
          <w:rFonts w:hint="default" w:ascii="Times New Roman" w:hAnsi="Times New Roman" w:eastAsia="仿宋" w:cs="Times New Roman"/>
          <w:color w:val="auto"/>
          <w:sz w:val="32"/>
          <w:szCs w:val="32"/>
          <w:lang w:val="en-US" w:eastAsia="zh-CN"/>
        </w:rPr>
        <w:t>0.36%，其中：授予小微企业合同金额0.72万元，占政府采购支出总额的0.36%。</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十二、关于国有资产占用情况说明</w:t>
      </w:r>
    </w:p>
    <w:p>
      <w:pPr>
        <w:pStyle w:val="9"/>
        <w:ind w:firstLine="646"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截至2020年12月31日，本单位共有车辆</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辆，其中，主要领导干部用车</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辆，机要通信用车</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辆、应急保障用车</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辆、执法执勤用车</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辆、特种专业技术用车</w:t>
      </w:r>
      <w:r>
        <w:rPr>
          <w:rFonts w:hint="default" w:ascii="Times New Roman" w:hAnsi="Times New Roman" w:eastAsia="仿宋" w:cs="Times New Roman"/>
          <w:color w:val="auto"/>
          <w:sz w:val="32"/>
          <w:szCs w:val="32"/>
          <w:lang w:val="en-US" w:eastAsia="zh-CN"/>
        </w:rPr>
        <w:t>0</w:t>
      </w:r>
      <w:r>
        <w:rPr>
          <w:rFonts w:hint="default" w:ascii="Times New Roman" w:hAnsi="Times New Roman" w:eastAsia="仿宋" w:cs="Times New Roman"/>
          <w:color w:val="auto"/>
          <w:sz w:val="32"/>
          <w:szCs w:val="32"/>
        </w:rPr>
        <w:t>辆、其他用车</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辆，其他用车主要是</w:t>
      </w:r>
      <w:r>
        <w:rPr>
          <w:rFonts w:hint="default" w:ascii="Times New Roman" w:hAnsi="Times New Roman" w:eastAsia="仿宋" w:cs="Times New Roman"/>
          <w:color w:val="auto"/>
          <w:sz w:val="32"/>
          <w:szCs w:val="32"/>
          <w:lang w:val="en-US" w:eastAsia="zh-CN"/>
        </w:rPr>
        <w:t>业务用车及</w:t>
      </w:r>
      <w:r>
        <w:rPr>
          <w:rFonts w:hint="default" w:ascii="Times New Roman" w:hAnsi="Times New Roman" w:eastAsia="仿宋" w:cs="Times New Roman"/>
          <w:color w:val="auto"/>
          <w:sz w:val="32"/>
          <w:szCs w:val="32"/>
        </w:rPr>
        <w:t>公车改革待处置车辆。</w:t>
      </w:r>
      <w:r>
        <w:rPr>
          <w:rFonts w:hint="default" w:ascii="Times New Roman" w:hAnsi="Times New Roman" w:eastAsia="仿宋" w:cs="Times New Roman"/>
          <w:color w:val="auto"/>
          <w:sz w:val="32"/>
          <w:szCs w:val="32"/>
          <w:lang w:val="en-US" w:eastAsia="zh-CN"/>
        </w:rPr>
        <w:t>单位价值50万元以上通用设备0台，单位价值100万元以上专用设备0台。</w:t>
      </w:r>
    </w:p>
    <w:p>
      <w:pPr>
        <w:pStyle w:val="9"/>
        <w:rPr>
          <w:rFonts w:hint="default" w:ascii="Times New Roman" w:hAnsi="Times New Roman" w:cs="Times New Roman"/>
          <w:b/>
          <w:color w:val="auto"/>
          <w:sz w:val="32"/>
          <w:szCs w:val="32"/>
        </w:rPr>
      </w:pPr>
      <w:r>
        <w:rPr>
          <w:rFonts w:hint="default" w:ascii="Times New Roman" w:hAnsi="Times New Roman" w:cs="Times New Roman"/>
          <w:b/>
          <w:color w:val="auto"/>
          <w:sz w:val="32"/>
          <w:szCs w:val="32"/>
        </w:rPr>
        <w:t>十三、关于2020年度预算绩效情况的说明</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根据《湖南省财政厅关于开展2020年度部门绩效自评工作的通知》（湘财绩【2021】1号）要求和省局部门整体支出绩效自评工作小组的安排，我中心对部门整体支出进行了绩效评价，</w:t>
      </w:r>
      <w:r>
        <w:rPr>
          <w:rFonts w:hint="default" w:ascii="Times New Roman" w:hAnsi="Times New Roman" w:eastAsia="仿宋_GB2312" w:cs="Times New Roman"/>
          <w:color w:val="auto"/>
          <w:sz w:val="32"/>
          <w:szCs w:val="32"/>
        </w:rPr>
        <w:t>评</w:t>
      </w:r>
      <w:r>
        <w:rPr>
          <w:rFonts w:hint="default" w:ascii="Times New Roman" w:hAnsi="Times New Roman" w:eastAsia="仿宋" w:cs="Times New Roman"/>
          <w:b w:val="0"/>
          <w:bCs/>
          <w:color w:val="auto"/>
          <w:kern w:val="0"/>
          <w:sz w:val="32"/>
          <w:szCs w:val="32"/>
          <w:lang w:val="en-US" w:eastAsia="zh-CN"/>
        </w:rPr>
        <w:t>价从预算配置、预算执行情况、预算管理、职责履行、履职效益和各部门新增财政支出、一般性支出、会议支出、楼堂馆所项目支出、办公经费支出、机构编制和工资管理、厉行节约保障措施等方面进行了综合评价。根据绩效评价的有关规定，形成了评价报告（详见第五部分附件）。</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both"/>
        <w:rPr>
          <w:rFonts w:hint="default" w:ascii="Times New Roman" w:hAnsi="Times New Roman" w:cs="Times New Roman"/>
          <w:color w:val="auto"/>
          <w:sz w:val="72"/>
          <w:szCs w:val="72"/>
        </w:rPr>
      </w:pPr>
    </w:p>
    <w:p>
      <w:pPr>
        <w:pStyle w:val="9"/>
        <w:jc w:val="both"/>
        <w:rPr>
          <w:rFonts w:hint="default" w:ascii="Times New Roman" w:hAnsi="Times New Roman" w:cs="Times New Roman"/>
          <w:color w:val="auto"/>
          <w:sz w:val="72"/>
          <w:szCs w:val="72"/>
        </w:rPr>
      </w:pPr>
    </w:p>
    <w:p>
      <w:pPr>
        <w:pStyle w:val="9"/>
        <w:jc w:val="both"/>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p>
    <w:p>
      <w:pPr>
        <w:pStyle w:val="9"/>
        <w:jc w:val="center"/>
        <w:rPr>
          <w:rFonts w:hint="default" w:ascii="Times New Roman" w:hAnsi="Times New Roman" w:cs="Times New Roman"/>
          <w:color w:val="auto"/>
          <w:sz w:val="70"/>
          <w:szCs w:val="70"/>
        </w:rPr>
      </w:pPr>
      <w:r>
        <w:rPr>
          <w:rFonts w:hint="default" w:ascii="Times New Roman" w:hAnsi="Times New Roman" w:cs="Times New Roman"/>
          <w:color w:val="auto"/>
          <w:sz w:val="70"/>
          <w:szCs w:val="70"/>
        </w:rPr>
        <w:t>第四部分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名词解释</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ind w:firstLine="646" w:firstLineChars="200"/>
        <w:jc w:val="left"/>
        <w:rPr>
          <w:rFonts w:hint="default" w:ascii="Times New Roman" w:hAnsi="Times New Roman" w:cs="Times New Roman"/>
          <w:color w:val="auto"/>
          <w:kern w:val="0"/>
          <w:sz w:val="32"/>
          <w:szCs w:val="32"/>
        </w:rPr>
      </w:pP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一、财政拨款收入:指省财政当年拨付的资金。</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rPr>
        <w:t>、事业收入:指事业单位开展专业活动及辅助活动所取得的收入。</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rPr>
        <w:t>、经营收入:指事业单位在专业业务活动及其辅助活动之外开展非独立核算经营活动取得的收入。</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rPr>
        <w:t>、其他收入:指除上述“财政拨款”、“事业收入”、“事业单位经营收入”等以外的收入。主要是存款利息收入。</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五</w:t>
      </w:r>
      <w:r>
        <w:rPr>
          <w:rFonts w:hint="default" w:ascii="Times New Roman" w:hAnsi="Times New Roman" w:eastAsia="仿宋_GB2312" w:cs="Times New Roman"/>
          <w:color w:val="auto"/>
          <w:kern w:val="0"/>
          <w:sz w:val="32"/>
          <w:szCs w:val="32"/>
        </w:rPr>
        <w:t>、用事业基金弥补收支差额:指差额拨款的事业单位在当年“财政拨款收入”、“事业收入”、“经营收入”、“其他收入”不足以安排当年支出的情况下,使用以前年度积累的事业基金(事业单位当度收支相抵后按国家规定提取、用于弥补以后年度收支差额的基金)弥补本年度收支缺口的资金。</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六</w:t>
      </w:r>
      <w:r>
        <w:rPr>
          <w:rFonts w:hint="default" w:ascii="Times New Roman" w:hAnsi="Times New Roman" w:eastAsia="仿宋_GB2312" w:cs="Times New Roman"/>
          <w:color w:val="auto"/>
          <w:kern w:val="0"/>
          <w:sz w:val="32"/>
          <w:szCs w:val="32"/>
        </w:rPr>
        <w:t>、年初结转和结余:指以前年度支出预算因客观条件变化未执行完毕、结转到本年度按有关规定继续使用的资金。</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七</w:t>
      </w:r>
      <w:r>
        <w:rPr>
          <w:rFonts w:hint="default" w:ascii="Times New Roman" w:hAnsi="Times New Roman" w:eastAsia="仿宋_GB2312" w:cs="Times New Roman"/>
          <w:color w:val="auto"/>
          <w:kern w:val="0"/>
          <w:sz w:val="32"/>
          <w:szCs w:val="32"/>
        </w:rPr>
        <w:t>、基本支出:指为保障机构正常运转、完成日常工作任务所必需的开支,其内容包括人员经费和日常公用经费两部分。</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八</w:t>
      </w:r>
      <w:r>
        <w:rPr>
          <w:rFonts w:hint="default" w:ascii="Times New Roman" w:hAnsi="Times New Roman" w:eastAsia="仿宋_GB2312" w:cs="Times New Roman"/>
          <w:color w:val="auto"/>
          <w:kern w:val="0"/>
          <w:sz w:val="32"/>
          <w:szCs w:val="32"/>
        </w:rPr>
        <w:t>、项目支出:指在基本支出之外,为完成特定的行政工作任务或事业发展目标所发生的支出。</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lang w:val="en-US" w:eastAsia="zh-CN"/>
        </w:rPr>
        <w:t>九</w:t>
      </w:r>
      <w:r>
        <w:rPr>
          <w:rFonts w:hint="default" w:ascii="Times New Roman" w:hAnsi="Times New Roman" w:eastAsia="仿宋_GB2312" w:cs="Times New Roman"/>
          <w:color w:val="auto"/>
          <w:kern w:val="0"/>
          <w:sz w:val="32"/>
          <w:szCs w:val="32"/>
        </w:rPr>
        <w:t>、因公出国（境）费：指单位公务出国（境）的住宿费、旅费、伙食补助费、杂费、培训费等支出。</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十、公务用车购置费：指单位公务车辆购置支出，包括车辆购置税支出。</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default" w:ascii="Times New Roman" w:hAnsi="Times New Roman" w:eastAsia="仿宋_GB2312" w:cs="Times New Roman"/>
          <w:color w:val="auto"/>
          <w:kern w:val="0"/>
          <w:sz w:val="32"/>
          <w:szCs w:val="32"/>
          <w:lang w:val="en-US" w:eastAsia="zh-CN"/>
        </w:rPr>
        <w:t>一</w:t>
      </w:r>
      <w:r>
        <w:rPr>
          <w:rFonts w:hint="default" w:ascii="Times New Roman" w:hAnsi="Times New Roman" w:eastAsia="仿宋_GB2312" w:cs="Times New Roman"/>
          <w:color w:val="auto"/>
          <w:kern w:val="0"/>
          <w:sz w:val="32"/>
          <w:szCs w:val="32"/>
        </w:rPr>
        <w:t>、公务用车运行维护费：指单位公务用车租用费、燃料费、维修费、过路过桥费、保险费、安全奖励费用等支出。</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default" w:ascii="Times New Roman" w:hAnsi="Times New Roman" w:eastAsia="仿宋_GB2312" w:cs="Times New Roman"/>
          <w:color w:val="auto"/>
          <w:kern w:val="0"/>
          <w:sz w:val="32"/>
          <w:szCs w:val="32"/>
          <w:lang w:val="en-US" w:eastAsia="zh-CN"/>
        </w:rPr>
        <w:t>二</w:t>
      </w:r>
      <w:r>
        <w:rPr>
          <w:rFonts w:hint="default" w:ascii="Times New Roman" w:hAnsi="Times New Roman" w:eastAsia="仿宋_GB2312" w:cs="Times New Roman"/>
          <w:color w:val="auto"/>
          <w:kern w:val="0"/>
          <w:sz w:val="32"/>
          <w:szCs w:val="32"/>
        </w:rPr>
        <w:t>、公务接待费：指单位按规定开支的各类公务接待（含 外宾接待）费用。</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default" w:ascii="Times New Roman" w:hAnsi="Times New Roman" w:eastAsia="仿宋_GB2312" w:cs="Times New Roman"/>
          <w:color w:val="auto"/>
          <w:kern w:val="0"/>
          <w:sz w:val="32"/>
          <w:szCs w:val="32"/>
          <w:lang w:val="en-US" w:eastAsia="zh-CN"/>
        </w:rPr>
        <w:t>三</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val="en-US" w:eastAsia="zh-CN"/>
        </w:rPr>
        <w:t>公用</w:t>
      </w:r>
      <w:r>
        <w:rPr>
          <w:rFonts w:hint="default" w:ascii="Times New Roman" w:hAnsi="Times New Roman" w:eastAsia="仿宋_GB2312" w:cs="Times New Roman"/>
          <w:color w:val="auto"/>
          <w:kern w:val="0"/>
          <w:sz w:val="32"/>
          <w:szCs w:val="32"/>
        </w:rPr>
        <w:t>经费:指为保障</w:t>
      </w:r>
      <w:r>
        <w:rPr>
          <w:rFonts w:hint="default" w:ascii="Times New Roman" w:hAnsi="Times New Roman" w:eastAsia="仿宋_GB2312" w:cs="Times New Roman"/>
          <w:color w:val="auto"/>
          <w:kern w:val="0"/>
          <w:sz w:val="32"/>
          <w:szCs w:val="32"/>
          <w:lang w:val="en-US" w:eastAsia="zh-CN"/>
        </w:rPr>
        <w:t>事业</w:t>
      </w:r>
      <w:r>
        <w:rPr>
          <w:rFonts w:hint="default" w:ascii="Times New Roman" w:hAnsi="Times New Roman" w:eastAsia="仿宋_GB2312" w:cs="Times New Roman"/>
          <w:color w:val="auto"/>
          <w:kern w:val="0"/>
          <w:sz w:val="32"/>
          <w:szCs w:val="32"/>
        </w:rPr>
        <w:t>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spacing w:line="560" w:lineRule="exact"/>
        <w:ind w:firstLine="646" w:firstLineChars="200"/>
        <w:jc w:val="left"/>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十</w:t>
      </w:r>
      <w:r>
        <w:rPr>
          <w:rFonts w:hint="default" w:ascii="Times New Roman" w:hAnsi="Times New Roman" w:eastAsia="仿宋_GB2312" w:cs="Times New Roman"/>
          <w:color w:val="auto"/>
          <w:kern w:val="0"/>
          <w:sz w:val="32"/>
          <w:szCs w:val="32"/>
          <w:lang w:val="en-US" w:eastAsia="zh-CN"/>
        </w:rPr>
        <w:t>四</w:t>
      </w:r>
      <w:r>
        <w:rPr>
          <w:rFonts w:hint="default" w:ascii="Times New Roman" w:hAnsi="Times New Roman" w:eastAsia="仿宋_GB2312" w:cs="Times New Roman"/>
          <w:color w:val="auto"/>
          <w:kern w:val="0"/>
          <w:sz w:val="32"/>
          <w:szCs w:val="32"/>
        </w:rPr>
        <w:t>、年末结转和结余：指本年度或以前年度预算安排、因客观条件发生变化无法按原计划实施，需延迟到以后年度按有关规定继续使用的资金。</w:t>
      </w: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both"/>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0"/>
          <w:szCs w:val="70"/>
        </w:rPr>
      </w:pPr>
      <w:r>
        <w:rPr>
          <w:rFonts w:hint="default" w:ascii="Times New Roman" w:hAnsi="Times New Roman" w:cs="Times New Roman"/>
          <w:color w:val="auto"/>
          <w:sz w:val="70"/>
          <w:szCs w:val="70"/>
        </w:rPr>
        <w:t>第五部分</w:t>
      </w:r>
    </w:p>
    <w:p>
      <w:pPr>
        <w:jc w:val="center"/>
        <w:rPr>
          <w:rFonts w:hint="default" w:ascii="Times New Roman" w:hAnsi="Times New Roman" w:eastAsia="黑体" w:cs="Times New Roman"/>
          <w:color w:val="auto"/>
          <w:kern w:val="0"/>
          <w:sz w:val="70"/>
          <w:szCs w:val="70"/>
        </w:rPr>
      </w:pPr>
    </w:p>
    <w:p>
      <w:pPr>
        <w:jc w:val="center"/>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t>附件</w:t>
      </w:r>
    </w:p>
    <w:p>
      <w:pPr>
        <w:widowControl/>
        <w:jc w:val="left"/>
        <w:rPr>
          <w:rFonts w:hint="default" w:ascii="Times New Roman" w:hAnsi="Times New Roman" w:eastAsia="黑体" w:cs="Times New Roman"/>
          <w:color w:val="auto"/>
          <w:kern w:val="0"/>
          <w:sz w:val="70"/>
          <w:szCs w:val="70"/>
        </w:rPr>
      </w:pPr>
      <w:r>
        <w:rPr>
          <w:rFonts w:hint="default" w:ascii="Times New Roman" w:hAnsi="Times New Roman" w:eastAsia="黑体" w:cs="Times New Roman"/>
          <w:color w:val="auto"/>
          <w:kern w:val="0"/>
          <w:sz w:val="70"/>
          <w:szCs w:val="70"/>
        </w:rPr>
        <w:br w:type="page"/>
      </w:r>
    </w:p>
    <w:p>
      <w:pPr>
        <w:spacing w:line="560" w:lineRule="exact"/>
        <w:jc w:val="center"/>
        <w:rPr>
          <w:rFonts w:hint="default" w:ascii="Times New Roman" w:hAnsi="Times New Roman" w:cs="Times New Roman"/>
          <w:b/>
          <w:bCs w:val="0"/>
          <w:color w:val="auto"/>
          <w:kern w:val="0"/>
          <w:sz w:val="32"/>
          <w:szCs w:val="32"/>
        </w:rPr>
      </w:pPr>
      <w:r>
        <w:rPr>
          <w:rFonts w:hint="default" w:ascii="Times New Roman" w:hAnsi="Times New Roman" w:cs="Times New Roman"/>
          <w:b/>
          <w:bCs w:val="0"/>
          <w:color w:val="auto"/>
          <w:kern w:val="0"/>
          <w:sz w:val="32"/>
          <w:szCs w:val="32"/>
        </w:rPr>
        <w:t>20</w:t>
      </w:r>
      <w:r>
        <w:rPr>
          <w:rFonts w:hint="default" w:ascii="Times New Roman" w:hAnsi="Times New Roman" w:cs="Times New Roman"/>
          <w:b/>
          <w:bCs w:val="0"/>
          <w:color w:val="auto"/>
          <w:kern w:val="0"/>
          <w:sz w:val="32"/>
          <w:szCs w:val="32"/>
          <w:lang w:val="en-US" w:eastAsia="zh-CN"/>
        </w:rPr>
        <w:t>20</w:t>
      </w:r>
      <w:r>
        <w:rPr>
          <w:rFonts w:hint="default" w:ascii="Times New Roman" w:hAnsi="Times New Roman" w:cs="Times New Roman"/>
          <w:b/>
          <w:bCs w:val="0"/>
          <w:color w:val="auto"/>
          <w:kern w:val="0"/>
          <w:sz w:val="32"/>
          <w:szCs w:val="32"/>
        </w:rPr>
        <w:t>年度部门整体支出绩效评价报告</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根据《湖南省财政厅关于开展2020年度部门绩效自评工作的通知》（湘财绩【2021】1号）要求和省局部门整体支出绩效自评工作小组的安排，我中心对部门整体支出进行了绩效评价，并根据绩效评价的有关规定，形成本评价报告。</w:t>
      </w:r>
    </w:p>
    <w:p>
      <w:pPr>
        <w:numPr>
          <w:ilvl w:val="0"/>
          <w:numId w:val="3"/>
        </w:numPr>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单位基本情况</w:t>
      </w:r>
    </w:p>
    <w:p>
      <w:pPr>
        <w:spacing w:line="360" w:lineRule="auto"/>
        <w:ind w:firstLine="323" w:firstLineChars="1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w:t>
      </w:r>
      <w:r>
        <w:rPr>
          <w:rFonts w:hint="default" w:ascii="Times New Roman" w:hAnsi="Times New Roman" w:eastAsia="楷体" w:cs="Times New Roman"/>
          <w:b/>
          <w:bCs/>
          <w:color w:val="auto"/>
          <w:kern w:val="0"/>
          <w:sz w:val="32"/>
          <w:szCs w:val="32"/>
          <w:lang w:val="en-US" w:eastAsia="zh-CN" w:bidi="ar-SA"/>
        </w:rPr>
        <w:t>1.单位基本情况</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湖南广播电视网络传输中心于1995年经省编办批准注册成立，系湖南新闻出版广电局公益二类差额拨款事业单位，现中心人员定编30人，实有人数44人，其中在职35人（在编21人，聘用14人），退休9人。目前中心设办公室、资产财务部、运行维护部、传输管理部、网络监管部、公益电影部、退休管理科7个科室。</w:t>
      </w:r>
    </w:p>
    <w:p>
      <w:pPr>
        <w:spacing w:line="560" w:lineRule="exact"/>
        <w:ind w:firstLine="323" w:firstLineChars="100"/>
        <w:jc w:val="both"/>
        <w:rPr>
          <w:rFonts w:hint="default" w:ascii="Times New Roman" w:hAnsi="Times New Roman" w:eastAsia="仿宋" w:cs="Times New Roman"/>
          <w:b/>
          <w:bCs w:val="0"/>
          <w:color w:val="auto"/>
          <w:kern w:val="0"/>
          <w:sz w:val="32"/>
          <w:szCs w:val="32"/>
          <w:lang w:val="en-US" w:eastAsia="zh-CN"/>
        </w:rPr>
      </w:pPr>
      <w:r>
        <w:rPr>
          <w:rFonts w:hint="default" w:ascii="Times New Roman" w:hAnsi="Times New Roman" w:eastAsia="仿宋" w:cs="Times New Roman"/>
          <w:b/>
          <w:bCs w:val="0"/>
          <w:color w:val="auto"/>
          <w:kern w:val="0"/>
          <w:sz w:val="32"/>
          <w:szCs w:val="32"/>
          <w:lang w:val="en-US" w:eastAsia="zh-CN"/>
        </w:rPr>
        <w:t xml:space="preserve"> 2.主要职责情况</w:t>
      </w:r>
    </w:p>
    <w:p>
      <w:pPr>
        <w:numPr>
          <w:ilvl w:val="0"/>
          <w:numId w:val="0"/>
        </w:numPr>
        <w:spacing w:line="560" w:lineRule="exact"/>
        <w:ind w:firstLine="323" w:firstLineChars="1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（1）负责对全省有线数字电视网络传输质量和业务进行监督监测；</w:t>
      </w:r>
    </w:p>
    <w:p>
      <w:pPr>
        <w:numPr>
          <w:ilvl w:val="0"/>
          <w:numId w:val="0"/>
        </w:numPr>
        <w:spacing w:line="560" w:lineRule="exact"/>
        <w:ind w:firstLine="323" w:firstLineChars="1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（2）负责国家广电干线网湖南境内线路的运行维护及业务开展与管理；</w:t>
      </w:r>
    </w:p>
    <w:p>
      <w:pPr>
        <w:spacing w:line="560" w:lineRule="exact"/>
        <w:ind w:firstLine="323" w:firstLineChars="1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（3）负责对广播电视新技术、新业务进行跟踪研究和开发；</w:t>
      </w:r>
    </w:p>
    <w:p>
      <w:pPr>
        <w:spacing w:line="560" w:lineRule="exact"/>
        <w:ind w:firstLine="323" w:firstLineChars="1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b w:val="0"/>
          <w:bCs/>
          <w:color w:val="auto"/>
          <w:kern w:val="0"/>
          <w:sz w:val="32"/>
          <w:szCs w:val="32"/>
          <w:lang w:val="en-US" w:eastAsia="zh-CN"/>
        </w:rPr>
        <w:t>（4）负责全省有线数字电视网络的技术验收；</w:t>
      </w:r>
    </w:p>
    <w:p>
      <w:pPr>
        <w:numPr>
          <w:ilvl w:val="0"/>
          <w:numId w:val="0"/>
        </w:numPr>
        <w:spacing w:line="360" w:lineRule="auto"/>
        <w:ind w:firstLine="323" w:firstLineChars="1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（5）负责局门户网站和局机关有关网络、网站的运行维护和技术服务工作；</w:t>
      </w:r>
    </w:p>
    <w:p>
      <w:pPr>
        <w:numPr>
          <w:ilvl w:val="0"/>
          <w:numId w:val="0"/>
        </w:numPr>
        <w:spacing w:line="360" w:lineRule="auto"/>
        <w:ind w:firstLine="323" w:firstLineChars="1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（6）负责湖南省农村电影监管平台的运行和维护；</w:t>
      </w:r>
    </w:p>
    <w:p>
      <w:pPr>
        <w:numPr>
          <w:ilvl w:val="0"/>
          <w:numId w:val="0"/>
        </w:numPr>
        <w:ind w:firstLine="323" w:firstLineChars="1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（7）负责广电总局保密专网服务器的管理和维护。</w:t>
      </w:r>
    </w:p>
    <w:p>
      <w:pPr>
        <w:widowControl/>
        <w:spacing w:line="600" w:lineRule="exac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二、一般公共预算支出情况</w:t>
      </w:r>
    </w:p>
    <w:p>
      <w:pPr>
        <w:spacing w:line="560" w:lineRule="exact"/>
        <w:ind w:firstLine="323" w:firstLineChars="1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（一）基本支出情况：</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1.2020年基本支出707.19万元，其中，工资和福利支出631.43万元，商品和服务支出45.7万元，对个人和家庭的补助30.06万元。</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2.2020年中心“三公经费”预算15.5万元，支出决算1.66万元。本单位本着勤俭、厉行节约的原则，本年度“三公经费”相比2019年减少1.56万元，三公经费使用大幅下降。</w:t>
      </w:r>
    </w:p>
    <w:p>
      <w:pPr>
        <w:spacing w:line="560" w:lineRule="exact"/>
        <w:ind w:firstLine="323" w:firstLineChars="1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（二）项目支出情况：</w:t>
      </w:r>
    </w:p>
    <w:p>
      <w:pPr>
        <w:spacing w:line="560" w:lineRule="exact"/>
        <w:ind w:firstLine="646" w:firstLineChars="200"/>
        <w:jc w:val="both"/>
        <w:rPr>
          <w:rFonts w:hint="default" w:ascii="Times New Roman" w:hAnsi="Times New Roman" w:eastAsia="仿宋" w:cs="Times New Roman"/>
          <w:b w:val="0"/>
          <w:bCs/>
          <w:color w:val="auto"/>
          <w:kern w:val="0"/>
          <w:sz w:val="32"/>
          <w:szCs w:val="32"/>
          <w:lang w:val="en-US" w:eastAsia="zh-CN"/>
        </w:rPr>
      </w:pPr>
      <w:r>
        <w:rPr>
          <w:rFonts w:hint="default" w:ascii="Times New Roman" w:hAnsi="Times New Roman" w:eastAsia="仿宋" w:cs="Times New Roman"/>
          <w:b w:val="0"/>
          <w:bCs/>
          <w:color w:val="auto"/>
          <w:kern w:val="0"/>
          <w:sz w:val="32"/>
          <w:szCs w:val="32"/>
          <w:lang w:val="en-US" w:eastAsia="zh-CN"/>
        </w:rPr>
        <w:t>2020年项目支出315.64万元，其中监管平台和农村电影平台日常运行和维护等费用33.79万元，有线数字电视监管平台提质改造201.85万元，中央补助地方公共文化服务体系建设80万元（主要用于县及平台线路租赁50万元和15个地市州机房维护30万元）。</w:t>
      </w:r>
    </w:p>
    <w:p>
      <w:pPr>
        <w:widowControl/>
        <w:spacing w:line="600" w:lineRule="exac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三、政府性基金预算支出情况</w:t>
      </w:r>
    </w:p>
    <w:p>
      <w:pPr>
        <w:widowControl/>
        <w:numPr>
          <w:ilvl w:val="0"/>
          <w:numId w:val="0"/>
        </w:numPr>
        <w:spacing w:line="600" w:lineRule="exact"/>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无</w:t>
      </w:r>
    </w:p>
    <w:p>
      <w:pPr>
        <w:widowControl/>
        <w:spacing w:line="600" w:lineRule="exac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四、国有资本经营预算支出情况</w:t>
      </w:r>
    </w:p>
    <w:p>
      <w:pPr>
        <w:widowControl/>
        <w:numPr>
          <w:ilvl w:val="0"/>
          <w:numId w:val="0"/>
        </w:numPr>
        <w:spacing w:line="600" w:lineRule="exact"/>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无</w:t>
      </w:r>
    </w:p>
    <w:p>
      <w:pPr>
        <w:widowControl/>
        <w:spacing w:line="600" w:lineRule="exact"/>
        <w:rPr>
          <w:rFonts w:hint="default" w:ascii="Times New Roman" w:hAnsi="Times New Roman" w:eastAsia="黑体" w:cs="Times New Roman"/>
          <w:color w:val="auto"/>
          <w:kern w:val="0"/>
          <w:sz w:val="32"/>
          <w:szCs w:val="32"/>
          <w:lang w:val="en-US" w:eastAsia="zh-CN" w:bidi="ar-SA"/>
        </w:rPr>
      </w:pPr>
      <w:r>
        <w:rPr>
          <w:rFonts w:hint="default" w:ascii="Times New Roman" w:hAnsi="Times New Roman" w:eastAsia="黑体" w:cs="Times New Roman"/>
          <w:color w:val="auto"/>
          <w:kern w:val="0"/>
          <w:sz w:val="32"/>
          <w:szCs w:val="32"/>
          <w:lang w:val="en-US" w:eastAsia="zh-CN" w:bidi="ar-SA"/>
        </w:rPr>
        <w:t>五、社会保险基金预算支出情况</w:t>
      </w:r>
    </w:p>
    <w:p>
      <w:pPr>
        <w:widowControl/>
        <w:numPr>
          <w:ilvl w:val="0"/>
          <w:numId w:val="0"/>
        </w:numPr>
        <w:spacing w:line="600" w:lineRule="exact"/>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无</w:t>
      </w:r>
    </w:p>
    <w:p>
      <w:pPr>
        <w:widowControl/>
        <w:spacing w:line="600" w:lineRule="exact"/>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b/>
          <w:bCs/>
          <w:color w:val="auto"/>
          <w:kern w:val="0"/>
          <w:sz w:val="32"/>
          <w:szCs w:val="32"/>
          <w:lang w:val="en-US" w:eastAsia="zh-CN" w:bidi="ar-SA"/>
        </w:rPr>
        <w:t>六、</w:t>
      </w:r>
      <w:r>
        <w:rPr>
          <w:rFonts w:hint="default" w:ascii="Times New Roman" w:hAnsi="Times New Roman" w:eastAsia="黑体" w:cs="Times New Roman"/>
          <w:color w:val="auto"/>
          <w:kern w:val="0"/>
          <w:sz w:val="32"/>
          <w:szCs w:val="32"/>
          <w:lang w:val="en-US" w:eastAsia="zh-CN" w:bidi="ar-SA"/>
        </w:rPr>
        <w:t>部门整体支出绩效情况</w:t>
      </w:r>
    </w:p>
    <w:p>
      <w:pPr>
        <w:numPr>
          <w:ilvl w:val="0"/>
          <w:numId w:val="4"/>
        </w:numPr>
        <w:spacing w:line="360" w:lineRule="auto"/>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财政预算执行情况</w:t>
      </w:r>
    </w:p>
    <w:p>
      <w:pPr>
        <w:numPr>
          <w:ilvl w:val="0"/>
          <w:numId w:val="0"/>
        </w:numPr>
        <w:spacing w:line="360" w:lineRule="auto"/>
        <w:ind w:firstLine="64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2020年全年财政拨款977.84万元，其中，2020年财政预算收入963.19万元，上年结转财政资金14.65万元。2020年全年财政拨款支出决算887.7万元。全年财政拨款执行率90.78%。执行情况较好。</w:t>
      </w:r>
    </w:p>
    <w:p>
      <w:pPr>
        <w:widowControl/>
        <w:spacing w:line="60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我单位严格按照年初预算进行部门整体支出，支出过程中，能够严格遵守各项规章制度。本着勤俭、节约的原则，“三公经费”较上年度大幅下降，其他日常公用经费的使用严格按制度和严格审批程序。政府采购严格按照省财政厅《湖南省2020年省级政府集中采购目录及政府采购限额标准》的要求执行，资金使用合规。所有支出都实行先预算再支出，无挪用滥用资金的现象。</w:t>
      </w:r>
    </w:p>
    <w:p>
      <w:pPr>
        <w:widowControl/>
        <w:spacing w:line="60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（二）职能履行情况</w:t>
      </w:r>
    </w:p>
    <w:p>
      <w:pPr>
        <w:widowControl/>
        <w:spacing w:line="60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2020年，在局党组的正确领导下，网络中心领导班子带领全体干部职工紧紧围绕《2020年湖南省广播电视工作要点》和中心年初提出的全年工作任务，迎难而上，努力拼博，各项工作都有进展，在安全播出、事业建设、经营管理、队伍建设等方面取得了新的成绩。 </w:t>
      </w:r>
    </w:p>
    <w:p>
      <w:pPr>
        <w:widowControl/>
        <w:spacing w:line="600" w:lineRule="exact"/>
        <w:ind w:firstLine="646" w:firstLineChars="200"/>
        <w:jc w:val="left"/>
        <w:rPr>
          <w:rFonts w:hint="default" w:ascii="Times New Roman" w:hAnsi="Times New Roman" w:eastAsia="仿宋" w:cs="Times New Roman"/>
          <w:b/>
          <w:bCs/>
          <w:color w:val="auto"/>
          <w:kern w:val="0"/>
          <w:sz w:val="32"/>
          <w:szCs w:val="32"/>
          <w:lang w:val="en-US" w:eastAsia="zh-CN" w:bidi="ar-SA"/>
        </w:rPr>
      </w:pPr>
      <w:r>
        <w:rPr>
          <w:rFonts w:hint="default" w:ascii="Times New Roman" w:hAnsi="Times New Roman" w:eastAsia="仿宋" w:cs="Times New Roman"/>
          <w:b/>
          <w:bCs/>
          <w:color w:val="auto"/>
          <w:kern w:val="0"/>
          <w:sz w:val="32"/>
          <w:szCs w:val="32"/>
          <w:lang w:val="en-US" w:eastAsia="zh-CN" w:bidi="ar-SA"/>
        </w:rPr>
        <w:t>1.以习近平新时代中国特色社会主义思想为指导，深入学习</w:t>
      </w:r>
      <w:r>
        <w:rPr>
          <w:rFonts w:hint="eastAsia" w:ascii="Times New Roman" w:hAnsi="Times New Roman" w:eastAsia="仿宋" w:cs="Times New Roman"/>
          <w:b/>
          <w:bCs/>
          <w:color w:val="auto"/>
          <w:kern w:val="0"/>
          <w:sz w:val="32"/>
          <w:szCs w:val="32"/>
          <w:lang w:val="en-US" w:eastAsia="zh-CN" w:bidi="ar-SA"/>
        </w:rPr>
        <w:t>贯彻</w:t>
      </w:r>
      <w:r>
        <w:rPr>
          <w:rFonts w:hint="default" w:ascii="Times New Roman" w:hAnsi="Times New Roman" w:eastAsia="仿宋" w:cs="Times New Roman"/>
          <w:b/>
          <w:bCs/>
          <w:color w:val="auto"/>
          <w:kern w:val="0"/>
          <w:sz w:val="32"/>
          <w:szCs w:val="32"/>
          <w:lang w:val="en-US" w:eastAsia="zh-CN" w:bidi="ar-SA"/>
        </w:rPr>
        <w:t>习近平</w:t>
      </w:r>
      <w:r>
        <w:rPr>
          <w:rFonts w:hint="eastAsia" w:ascii="Times New Roman" w:hAnsi="Times New Roman" w:eastAsia="仿宋" w:cs="Times New Roman"/>
          <w:b/>
          <w:bCs/>
          <w:color w:val="auto"/>
          <w:kern w:val="0"/>
          <w:sz w:val="32"/>
          <w:szCs w:val="32"/>
          <w:lang w:val="en-US" w:eastAsia="zh-CN" w:bidi="ar-SA"/>
        </w:rPr>
        <w:t>总</w:t>
      </w:r>
      <w:bookmarkStart w:id="3" w:name="_GoBack"/>
      <w:bookmarkEnd w:id="3"/>
      <w:r>
        <w:rPr>
          <w:rFonts w:hint="default" w:ascii="Times New Roman" w:hAnsi="Times New Roman" w:eastAsia="仿宋" w:cs="Times New Roman"/>
          <w:b/>
          <w:bCs/>
          <w:color w:val="auto"/>
          <w:kern w:val="0"/>
          <w:sz w:val="32"/>
          <w:szCs w:val="32"/>
          <w:lang w:val="en-US" w:eastAsia="zh-CN" w:bidi="ar-SA"/>
        </w:rPr>
        <w:t>书记来湘考察时的重要讲话精神，不断增强班子凝聚力与队伍战斗力。</w:t>
      </w:r>
    </w:p>
    <w:p>
      <w:pPr>
        <w:widowControl/>
        <w:spacing w:line="60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一是强化“两个维护”，推进党的政治建设。中心党委带头做到“两个维护”。树牢政治机关意识，把政治标准和政治要求贯穿党的建设全过程、贯穿到各项重点工作、各个环节。持续推进“三表率一模范”机关建设，教育引导党员干部牢牢把握正确政治方向、舆论导向和价值取向。进一步增强党组织和党员干部的凝聚力、向心力和战斗力,鼓励党员干部积极发扬越是艰险越向前的斗争精神和拼搏精神，带头到疫情防控、脱贫攻坚、助推复工复产一线担当作为，用行动诠释共产党人的政治本色。在统筹疫情防控和广电事业发展中带好头、作表率,用实际行动体现和落实“四个意识”“两个维护”,努力实现年初制定的各项工作目标,推动中心事业发展上新台阶。</w:t>
      </w:r>
    </w:p>
    <w:p>
      <w:pPr>
        <w:pStyle w:val="12"/>
        <w:numPr>
          <w:ilvl w:val="0"/>
          <w:numId w:val="0"/>
        </w:numPr>
        <w:spacing w:before="156" w:beforeLines="50" w:line="540" w:lineRule="exact"/>
        <w:ind w:firstLine="646" w:firstLineChars="2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二是认真落实省广电局2020年党的工作会议暨文明创建工作促进会会议精神,落实全面从严治党要求，深入推进中心文明创建工作。网络中心党委认真学习贯彻落实省委宣传部副部长、局党组书记、局长张严的讲话精神，贯彻落实省纪委监委驻局纪检监察组组长、局党组成员周爱国就局系统今年的党风廉政建设和反腐败工作的部署和安排。按照局党组成员副局长蒋强先对网络中心党委落实全面从严治党的具体要求，根据《中国共产党支部工作条例（试行）》和局党组《关于全面推进党支部标准化建设的实施办法》，按照中心党委加强党支部建设工作方案,集中力量强化支部党的建设，管好班子带好队伍，切实强化履行全面从严治党主体责任和中心党建、党风廉政建设、意识形态工作三大责任制,强化抓好文明创建工作的政治担当,增强工作主动性,在统筹发展中勇于担当,全面推动中心党建、党风廉政建设和文明创建工作实现新发展。中心负责人向党组递交了《2020年党风廉政建设和反腐败工作责任书》，以党建促进中心各项工作开展，履行好廉洁从政责任。中心党委注重发挥中心党委纪检委员的作用，把监督管理作为预防党员干部违法违纪的重要举措来抓，在机制完善、重点环节和管理举措上加强落实，切实凸显监督的有效性。在源头上防治腐败，把制度建设摆上突出位置，坚持用制度规范行为，按制度办事，靠制度管人。切实加强资金管理、招投标活动、党风廉政等相关制度建设，确保相关规定落到实处。</w:t>
      </w:r>
    </w:p>
    <w:p>
      <w:pPr>
        <w:pStyle w:val="12"/>
        <w:spacing w:before="156" w:beforeLines="50" w:line="540" w:lineRule="exact"/>
        <w:ind w:firstLine="6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三是多种形式开展主题党日活动，不断推进支部标准化建设。按照局党组《关于全面推进党支部标准化建设的实施办法》要求，强化制度落实，扎实推进巡视问题整改，认真落实“定期召开支部党员大会、党支部委员会和党小组会及按时上好党课”，加强党的纪律和党性修养教育，管好党员这个主体，通过领导带头讲党课等具体活动，严格规范组织生活，确保各项制度落到实处。中心党委把多种形式开展主题党日活动作为不断推进“两学一做”学习教育常态化、制度化的抓手，中心一支部、二支部认真落实《“大学习 走在前”——我为你荐书行动方案》，积极组织开展“大学习 走在前”荐书行动主题党日活动，中心每名党员都撰写了读书心得并开展了读书交流活动,党员深受教育，倍感珍惜来之不易的幸福生活，表示要以敢于担当的态度，努力工作、乐于奉献，把个人价值与单位发展融合起来，作出更出色的成绩。通过学习和开展多种形式的主题党日活动，进一步增强党支部的凝聚力和战斗力，提升支部党员的党性修养和党员意识，坚定对中国特色社会主义道路、理论、制度、文化的自信心，提高做好本职工作，为中心工作作贡献的自觉性。 中心所属两个党支部在“五化”建设考核中取得优异成绩，先后被评为局系统先进基层党组织。</w:t>
      </w:r>
    </w:p>
    <w:p>
      <w:pPr>
        <w:pStyle w:val="12"/>
        <w:numPr>
          <w:ilvl w:val="0"/>
          <w:numId w:val="0"/>
        </w:numPr>
        <w:spacing w:before="156" w:beforeLines="50" w:line="540" w:lineRule="exact"/>
        <w:ind w:firstLine="646" w:firstLineChars="2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四是认真做好疫情防控工作，打好疫情防控保卫战，助推复工复产。①做好本单位及单位人员防控和外来人员防控工作。网络中心按照中央、省委和省局的部署，制定了网络中心新冠疫情防控方案，办公室认真抓好日常防控工作，做好防疫物资的采购和发放工作，及时调整了交接班制度，重新排定日晚班，依靠中心强有力的后勤保障安排好一线值机员的防疫物质，最大限度的在保证安全播出的同时，保障了值机员的绝对安全。对来访人员认真落实测温措施，并按规定要求加强疫情排查工作，经过中心全体职工的积极努力，网络中心没有出现疫情风险。②在打好疫情防控保卫战的同时，积极助推中心有线数字电视监管平台升级项目复工复产。上半年新冠肺炎疫情严重影响到项目实施进度。网络中心克服困难，积极协调设备厂商，在疫情缓解的情况下于3月下旬恢复进场施工，现已全面完成监管平台升级项目的目标任务。③做好抗疫宣传慰问等工作。网络中心还积极响应《关于在统筹推进疫情防控和经济社会发展中当先锋、做表率、展作为的倡议书》，中心志愿服务者走访慰问了中南大学湘雅二医院援鄂医务人员董海云医生的父母，致敬抗疫一线的白衣天使。网络中心始终坚持“服务至上、细节关怀”的原则，做退休干部的“贴心人”，坚持定期电话慰问退休人员，落实好退休老同志待遇。在疫情防控期间，坚持服务到家，将抗疫物资一一送到老同志手中。根据中心实际，在不违反政策的情况下，在政策允许的范围内适当为退休人员发放生活补助金和抗疫慰问金。网络中心负责编发的《湖南广电工作简报》，在疫情防控期间，开设“疫情防控专辑”，传递最新动态信息，科普防疫知识，深入宣传复工复产政策。</w:t>
      </w:r>
    </w:p>
    <w:p>
      <w:pPr>
        <w:pStyle w:val="12"/>
        <w:spacing w:before="156" w:beforeLines="50" w:line="540" w:lineRule="exact"/>
        <w:ind w:firstLine="640"/>
        <w:rPr>
          <w:rFonts w:hint="default" w:ascii="Times New Roman" w:hAnsi="Times New Roman" w:eastAsia="仿宋" w:cs="Times New Roman"/>
          <w:b/>
          <w:bCs/>
          <w:color w:val="auto"/>
          <w:kern w:val="0"/>
          <w:sz w:val="32"/>
          <w:szCs w:val="32"/>
          <w:lang w:val="en-US" w:eastAsia="zh-CN" w:bidi="ar-SA"/>
        </w:rPr>
      </w:pPr>
      <w:r>
        <w:rPr>
          <w:rFonts w:hint="default" w:ascii="Times New Roman" w:hAnsi="Times New Roman" w:eastAsia="仿宋" w:cs="Times New Roman"/>
          <w:b/>
          <w:bCs/>
          <w:color w:val="auto"/>
          <w:kern w:val="0"/>
          <w:sz w:val="32"/>
          <w:szCs w:val="32"/>
          <w:lang w:val="en-US" w:eastAsia="zh-CN" w:bidi="ar-SA"/>
        </w:rPr>
        <w:t>2.圆满完成各项工作任务</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2020年，网络中心严格遵照上级部门和相关处室的各项要求，结合自身各项职能，圆满完成各项重要安全播出保障任务，确保国家干线网安全播出，保障有线电视监管平台、农村电影平台稳定运行，保证了各项业务的安全、优质、高效运行。为局职能处室、台传输覆盖部、新闻中心、有线集团等各部门提供了优质的服务。</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一是克服困难，坚守岗位，保障安全播出无事故</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网络中心紧紧围绕“安全播出”这条主线，严格规范机房管理制度。安全生产制度，交接班制度，强化值班员的各项操作规程，坚持在重保期开始前对机房进行彻底排查和检修，集中培训值班员。在重保期内，严格规范交接班制，强化值班员的各项操作规程。由于措施到位，上下一心，全体成员做到了严防死守，万无一失，为确保安全播出和安全生产打下坚实的保障基础，圆满完成元旦、春节、国庆和“两会”、和“6.3—6.5重保期”、“庆祝志愿军出国七十周年”和“庆祝抗日战争胜利七十周年”等重点防护期的安全播出任务，实现了机房安全播出零事故。</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二是明确职责，确保各平台平稳有序运行</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网络中心承担着有线数字电视监管平台15个市州分前端、92个县级前端共600多套广播电视节目，国干网长沙站上下传的CCTV-1、湖南卫视等38套广播电视节目的播出信号，全省农村数字电影放映监管平台1748台数字电影放映设备的电影放映和其它数据的监控管理，以及局门户网站、大映网站的运行监控工作。为了保障各业务平台的稳定的运行，值班人员做到了每天对机房巡查5次，监看监管平台运行状态5次，每天查看有线数字电视180套节目的录制情况1次，每天查看各网站的运行情况3次，每天记录电影平台的有关数据3次等，并将各项操作要求进行制度化，值班人员严格按照操作流程和操作要求认真细致的完成每一项操作。加强了机房设备的运行状态监控管理，平台隐患做到早预防、早发现、早处理。同时强化了机房环境的优化管理，全年对机房空调系统进行了2次全面的除尘保养，保证机房空调制冷效能，同时定期对机房设备进行除尘，对地面环境进行清扫，保证机房干净整洁，为机房设备的稳定运行提供了良好的工作环境。</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三是强化国干网传输保障措施，做到了网络传输畅通无事故</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网络中心加强技术值班和维护协调等工作力度，重点加强了机房、线路及应急预案等方面的全面的自查，并根据自查情况制定了相应的整治方案，对发现的隐患及时进行排查，克服疫情影响，在保证安全的前提下，行程4000余公里，先后完成国干网机房、线路巡检3次；配合中国有线处置国家干线网机房故障、隐患处理操作共计23次；完成国干网改迁、整治割接16次；完成线路抢修20次；完成配合线路调波、调纤操作6次。</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由于责任明确，措施得力，国干网湖南省境内线路、基站各项线路开展顺利，纤芯指标满足使用要求，做到了机房维护安全无事故，信号传输高效优质零停播，保障了国干网各上、下信号完整传输。</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四是认真做好全省有线数字电视监管平台运行维护</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有线数字电视监管平台于2007年开始建设，在网设备正在新旧更替之际，故障高发；同时地市网络公司体制调整，人员配合交接配合不利、疫情出行不便等不利因素影响，通过种种途径进行积极协调，及时排除故障，保障了有线数字电视监管平台正常运行。全年共完成有线数字电视监管平台中心硬件故障处理3次，远程处理分前端故障100余次，处理县级前端故障50余次，保证了平台对地市节目和省直节目的收录要求，有效的保障了局相关职能处室的管理需要。</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五是切实做好湖南省农村电影放映工程监管平台运行维护</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由于受疫情影响，放映条件受限，放映场次较往年大幅减少，截至2020年11月30日，平台有上线设备1748台，其中有放映记录的设备1707台，全年共播放电影1259部，共播放电影场次394277场，其中有效场次382793 场，无效场次7389场，争议场次4095场，为全省城镇和农村流动电影公益服务和事业发展提供了强有力的技术保障。</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六是精心组织，精密部署，确保有线数字电视监管平台安全播出，顺利完成平台升级改造项目</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在强化监管责任，细化保障措施 ，保证有线数字监管平台稳定运行同时，网络中心经过多方筹划、协调，确保了有线数字电视监管平台升级改造项目实施进度。为保证平台项目的顺利实施，抽调技术力量，与厂家一道组成两个施工小组全力开展市州设备的安装工作，于7月30日完成全省的设备安装工作，平台正式进入试运行期。试运行期间，积极与日常使用部门及监听监看中心进行对接，通过收集意见，协同厂家不断进行优化和调整，通过三个多月的试运行，平台基本平稳，满足使用要求，于2020年11月组织专家完成了项目验收，平台改造圆满完成。本次提质改造后，实现了省、市两级标清、高清有线数字电视监管的完整覆盖，引入最新人工智能技术，实现了语音识别、插转播比对识别等新功能，更好的为省局进行行业管理服务。</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七是服务机关工作成效明显。抓实服务局机关各项工作，确保总局会议电视系统、局网络信息安全和电子政务运行顺畅，综合运用《简报》、网站、公众号、电子屏等渠道及时发布新闻信息</w:t>
      </w:r>
    </w:p>
    <w:p>
      <w:pPr>
        <w:widowControl/>
        <w:spacing w:before="156" w:beforeLines="50"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在《简报》编辑工作中，全年共编发《湖南广电工作简报》22期，上送信息279条共628页，发行量达6700份。《简报》每月两期，工作任务繁重，网络中心扎实细致地做好每一篇稿件的编校、每一期版面的编排，严格履行三审程序，真正做到精编精校，印刷优良。因工作扎实认真，多次得到局领导和局办的好评。完成省局微信公众号局网站信息上传工作，为局会议电视系统提供优质服务。今年以来中心积极配合总局、省局各职能处室做好了会议电视系统的保障工作，全年共完成了各类会议电视保障工作60余次。2020年共上传官网数据信息约800条，根据局办要求从其他网站搜索并编辑信息120条，处理互动交流信息约400条，配合局办在门户网站增加视频新闻栏目,网站政务公开信息发布355条，网络问政回复35条,做到准时准确无误。外出拍摄照片7次；完成局网站栏目的调整优化，公安机关网络安全执法检查自查表填报上报，政务平台旗舰店前期建设对接工作，局机关处室的正版化统计，北院阅览室、审片室以及活动室装修的网络规划布线，局机关基础软硬件（操作系统、计算机、笔记本、服务器、打印机等）信息统计上报，北院监控设备的更新维护工作和全局的电脑以及局域网的日常维护工作，共为全局处理各种电脑、网络及其他相关设备故障一百余次。 </w:t>
      </w:r>
    </w:p>
    <w:p>
      <w:pPr>
        <w:spacing w:before="156" w:beforeLines="50" w:line="540" w:lineRule="exact"/>
        <w:ind w:firstLine="646" w:firstLineChars="2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八是国干网传输业务上台阶</w:t>
      </w:r>
    </w:p>
    <w:p>
      <w:pPr>
        <w:widowControl/>
        <w:spacing w:before="156" w:beforeLines="50" w:after="100" w:afterAutospacing="1"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网络中心顺利完成疫情特殊时期、两会、春节、五一等重要节假日业务单位安全播出协调工作。与中国有线及省网公司加强协调沟通IPTV监测业务，电路升级改造准备工作基本完成。积极与终端监测点保持联系，各个点的维护合同正在签订中，协调监测点终端升级改造、更换设备、做好日常维护，保持终端IPTV信号正常，保障总局IPTV前端实时监测。与总局282台领导及各个部门相关负责人加强联系沟通工作,为维系无线监测网的信号传输业务打好基础；完成中广电公司、省长途传输公司、中国有线、交通银行、湖南广播电视微波总站、省委机要网等业务单位传输服务业务的合同签订及款项回收工作；完成湖南快乐先锋传媒公司、湖南快乐垂钓公司和湖南快乐先锋茶文化传媒公司传输服务合同的签订及回款工作。完成总台六个通道传输服务合同重新签定的前期协调沟通工作；协调配合相关部门实施中国有线、总台以及各业务单位的电路开通、线路割接、设备更换维护等工作。及时梳理并完成了光纤电路及资源租赁业务合同的签定、续签、款项回收等工作，为完成部门全年目标任务奠定基础。 </w:t>
      </w:r>
    </w:p>
    <w:p>
      <w:pPr>
        <w:widowControl/>
        <w:spacing w:before="156" w:beforeLines="50" w:after="100" w:afterAutospacing="1" w:line="540" w:lineRule="exact"/>
        <w:ind w:firstLine="646" w:firstLineChars="20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九是网络中心大映传媒做好农村电影公益服务工作</w:t>
      </w:r>
    </w:p>
    <w:p>
      <w:pPr>
        <w:numPr>
          <w:ilvl w:val="0"/>
          <w:numId w:val="0"/>
        </w:numPr>
        <w:spacing w:before="156" w:beforeLines="50" w:line="540" w:lineRule="exact"/>
        <w:ind w:firstLine="646" w:firstLineChars="200"/>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协助电影行政主管部门积极推动疫情之下的农村电影复工复产。因上半年未能开展农村电影放映工作，农村公益电影开始全面复映后，协调各农村院线对今年的放映工作进行了统一安排部署，全年共完成公益电影放映场次394277场，超额完成全年放映任务。完成全省的设备巡检。共维修了271台放映设备，并将一批更新后闲置的旧设备重新拼装，焕发设备新的活力，有力地保障了全年放映工作的开展。积极组织自产影片的市场发行。截止11月30日，科教片累计发行近29万场，戏曲电影累计发行7375场。其中，《</w:t>
      </w:r>
      <w:r>
        <w:rPr>
          <w:rFonts w:hint="eastAsia" w:ascii="Times New Roman" w:hAnsi="Times New Roman" w:eastAsia="仿宋" w:cs="Times New Roman"/>
          <w:color w:val="auto"/>
          <w:kern w:val="0"/>
          <w:sz w:val="32"/>
          <w:szCs w:val="32"/>
          <w:lang w:val="en-US" w:eastAsia="zh-CN" w:bidi="ar-SA"/>
        </w:rPr>
        <w:t>扫</w:t>
      </w:r>
      <w:r>
        <w:rPr>
          <w:rFonts w:hint="default" w:ascii="Times New Roman" w:hAnsi="Times New Roman" w:eastAsia="仿宋" w:cs="Times New Roman"/>
          <w:color w:val="auto"/>
          <w:kern w:val="0"/>
          <w:sz w:val="32"/>
          <w:szCs w:val="32"/>
          <w:lang w:val="en-US" w:eastAsia="zh-CN" w:bidi="ar-SA"/>
        </w:rPr>
        <w:t>黄</w:t>
      </w:r>
      <w:r>
        <w:rPr>
          <w:rFonts w:hint="eastAsia" w:ascii="Times New Roman" w:hAnsi="Times New Roman" w:eastAsia="仿宋" w:cs="Times New Roman"/>
          <w:color w:val="auto"/>
          <w:kern w:val="0"/>
          <w:sz w:val="32"/>
          <w:szCs w:val="32"/>
          <w:lang w:val="en-US" w:eastAsia="zh-CN" w:bidi="ar-SA"/>
        </w:rPr>
        <w:t>打</w:t>
      </w:r>
      <w:r>
        <w:rPr>
          <w:rFonts w:hint="default" w:ascii="Times New Roman" w:hAnsi="Times New Roman" w:eastAsia="仿宋" w:cs="Times New Roman"/>
          <w:color w:val="auto"/>
          <w:kern w:val="0"/>
          <w:sz w:val="32"/>
          <w:szCs w:val="32"/>
          <w:lang w:val="en-US" w:eastAsia="zh-CN" w:bidi="ar-SA"/>
        </w:rPr>
        <w:t xml:space="preserve">非警示录》发行177831场，高居全国农村市场影片订购榜首，《勿让小摩托引发大事故》发行69959场，名列全国农村市场影片订购第三。积极筹备新的影片制作。《山乡工匠》完成备案。第一次独立筹备的故事片《绝不低头》完成了剧本创作，正在备案中。在局党组的直接领导下筹备《平民英雄—中国好人》系列电影，该项目得到省委宣传部和省文明办大力支持，省局和省文明办正在联名上报国家文明办。 </w:t>
      </w:r>
    </w:p>
    <w:p>
      <w:pPr>
        <w:widowControl/>
        <w:spacing w:line="600" w:lineRule="exact"/>
        <w:jc w:val="left"/>
        <w:rPr>
          <w:rFonts w:hint="default" w:ascii="Times New Roman" w:hAnsi="Times New Roman" w:eastAsia="仿宋" w:cs="Times New Roman"/>
          <w:b/>
          <w:bCs/>
          <w:color w:val="auto"/>
          <w:kern w:val="0"/>
          <w:sz w:val="32"/>
          <w:szCs w:val="32"/>
          <w:lang w:val="en-US" w:eastAsia="zh-CN" w:bidi="ar-SA"/>
        </w:rPr>
      </w:pPr>
      <w:r>
        <w:rPr>
          <w:rFonts w:hint="default" w:ascii="Times New Roman" w:hAnsi="Times New Roman" w:eastAsia="仿宋" w:cs="Times New Roman"/>
          <w:b/>
          <w:bCs/>
          <w:color w:val="auto"/>
          <w:kern w:val="0"/>
          <w:sz w:val="32"/>
          <w:szCs w:val="32"/>
          <w:lang w:val="en-US" w:eastAsia="zh-CN" w:bidi="ar-SA"/>
        </w:rPr>
        <w:t>七、存在的问题及原因分析</w:t>
      </w:r>
    </w:p>
    <w:p>
      <w:pPr>
        <w:numPr>
          <w:ilvl w:val="0"/>
          <w:numId w:val="0"/>
        </w:numPr>
        <w:spacing w:line="360" w:lineRule="auto"/>
        <w:ind w:firstLine="640"/>
        <w:jc w:val="left"/>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中心未执行财政资金主要是项目支出中的中央一般转移支付资金和2020年广告收入返还资金。主要原因是受资金下达时间影响支付进度，2020年广告收入返还资金将用于机房机房大屏监控系统及基础设施更新改造项目，该项目在下年度资金下达将及时启动。</w:t>
      </w:r>
    </w:p>
    <w:p>
      <w:pPr>
        <w:widowControl/>
        <w:spacing w:line="600" w:lineRule="exact"/>
        <w:jc w:val="left"/>
        <w:rPr>
          <w:rFonts w:hint="default" w:ascii="Times New Roman" w:hAnsi="Times New Roman" w:eastAsia="仿宋" w:cs="Times New Roman"/>
          <w:b/>
          <w:bCs/>
          <w:color w:val="auto"/>
          <w:kern w:val="0"/>
          <w:sz w:val="32"/>
          <w:szCs w:val="32"/>
          <w:lang w:val="en-US" w:eastAsia="zh-CN" w:bidi="ar-SA"/>
        </w:rPr>
      </w:pPr>
      <w:r>
        <w:rPr>
          <w:rFonts w:hint="default" w:ascii="Times New Roman" w:hAnsi="Times New Roman" w:eastAsia="仿宋" w:cs="Times New Roman"/>
          <w:b/>
          <w:bCs/>
          <w:color w:val="auto"/>
          <w:kern w:val="0"/>
          <w:sz w:val="32"/>
          <w:szCs w:val="32"/>
          <w:lang w:val="en-US" w:eastAsia="zh-CN" w:bidi="ar-SA"/>
        </w:rPr>
        <w:t>八、下一步改进措施</w:t>
      </w:r>
    </w:p>
    <w:p>
      <w:pPr>
        <w:spacing w:line="560" w:lineRule="exact"/>
        <w:ind w:firstLine="646" w:firstLineChars="2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中心属于差额拨款事业单位，经营创收压力较大，因此，我们应更加高效的用好财政资金，更加重视年初预算编制的严谨性和准确性。</w:t>
      </w:r>
    </w:p>
    <w:p>
      <w:pPr>
        <w:spacing w:line="560" w:lineRule="exact"/>
        <w:ind w:firstLine="646" w:firstLineChars="200"/>
        <w:jc w:val="both"/>
        <w:rPr>
          <w:rFonts w:hint="default" w:ascii="Times New Roman" w:hAnsi="Times New Roman" w:eastAsia="仿宋" w:cs="Times New Roman"/>
          <w:color w:val="auto"/>
          <w:kern w:val="0"/>
          <w:sz w:val="32"/>
          <w:szCs w:val="32"/>
          <w:lang w:val="en-US" w:eastAsia="zh-CN" w:bidi="ar-SA"/>
        </w:rPr>
      </w:pPr>
    </w:p>
    <w:p>
      <w:pPr>
        <w:spacing w:line="560" w:lineRule="exact"/>
        <w:ind w:firstLine="323" w:firstLineChars="1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附件：</w:t>
      </w:r>
    </w:p>
    <w:p>
      <w:pPr>
        <w:spacing w:line="560" w:lineRule="exact"/>
        <w:ind w:firstLine="646" w:firstLineChars="2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 xml:space="preserve">  附件1、2020年度部门整体支出绩效评价基础数据表</w:t>
      </w:r>
    </w:p>
    <w:p>
      <w:pPr>
        <w:spacing w:line="560" w:lineRule="exact"/>
        <w:ind w:firstLine="969" w:firstLineChars="3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附件2、2020年度部门整体支出绩效自评表</w:t>
      </w:r>
    </w:p>
    <w:p>
      <w:pPr>
        <w:spacing w:line="560" w:lineRule="exact"/>
        <w:ind w:firstLine="969" w:firstLineChars="300"/>
        <w:jc w:val="both"/>
        <w:rPr>
          <w:rFonts w:hint="default" w:ascii="Times New Roman" w:hAnsi="Times New Roman" w:eastAsia="仿宋" w:cs="Times New Roman"/>
          <w:color w:val="auto"/>
          <w:kern w:val="0"/>
          <w:sz w:val="32"/>
          <w:szCs w:val="32"/>
          <w:lang w:val="en-US" w:eastAsia="zh-CN" w:bidi="ar-SA"/>
        </w:rPr>
      </w:pPr>
      <w:r>
        <w:rPr>
          <w:rFonts w:hint="default" w:ascii="Times New Roman" w:hAnsi="Times New Roman" w:eastAsia="仿宋" w:cs="Times New Roman"/>
          <w:color w:val="auto"/>
          <w:kern w:val="0"/>
          <w:sz w:val="32"/>
          <w:szCs w:val="32"/>
          <w:lang w:val="en-US" w:eastAsia="zh-CN" w:bidi="ar-SA"/>
        </w:rPr>
        <w:t>附件3、2020年度项目支出绩效自评表</w:t>
      </w:r>
    </w:p>
    <w:p>
      <w:pPr>
        <w:pStyle w:val="9"/>
        <w:jc w:val="both"/>
        <w:rPr>
          <w:rFonts w:hint="default" w:ascii="Times New Roman" w:hAnsi="Times New Roman" w:cs="Times New Roman"/>
          <w:color w:val="auto"/>
          <w:sz w:val="72"/>
          <w:szCs w:val="72"/>
          <w:lang w:val="en-US" w:eastAsia="zh-CN"/>
        </w:rPr>
      </w:pPr>
      <w:r>
        <w:rPr>
          <w:rFonts w:hint="default" w:ascii="Times New Roman" w:hAnsi="Times New Roman" w:cs="Times New Roman"/>
          <w:color w:val="auto"/>
          <w:sz w:val="72"/>
          <w:szCs w:val="72"/>
          <w:lang w:val="en-US" w:eastAsia="zh-CN"/>
        </w:rPr>
        <w:t xml:space="preserve"> </w:t>
      </w:r>
    </w:p>
    <w:p>
      <w:pPr>
        <w:pStyle w:val="9"/>
        <w:jc w:val="both"/>
        <w:rPr>
          <w:rFonts w:hint="default" w:ascii="Times New Roman" w:hAnsi="Times New Roman" w:cs="Times New Roman"/>
          <w:color w:val="auto"/>
          <w:sz w:val="72"/>
          <w:szCs w:val="72"/>
          <w:lang w:val="en-US" w:eastAsia="zh-CN"/>
        </w:rPr>
      </w:pPr>
    </w:p>
    <w:p>
      <w:pPr>
        <w:pStyle w:val="9"/>
        <w:jc w:val="both"/>
        <w:rPr>
          <w:rFonts w:hint="default" w:ascii="Times New Roman" w:hAnsi="Times New Roman" w:cs="Times New Roman"/>
          <w:color w:val="auto"/>
          <w:sz w:val="72"/>
          <w:szCs w:val="72"/>
          <w:lang w:val="en-US" w:eastAsia="zh-CN"/>
        </w:rPr>
      </w:pP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widowControl/>
        <w:spacing w:after="120" w:afterLines="50"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1</w:t>
      </w:r>
    </w:p>
    <w:p>
      <w:pPr>
        <w:spacing w:after="120" w:afterLines="50" w:line="600" w:lineRule="exact"/>
        <w:jc w:val="center"/>
        <w:rPr>
          <w:rFonts w:hint="default" w:ascii="Times New Roman" w:hAnsi="Times New Roman" w:eastAsia="仿宋_GB2312" w:cs="Times New Roman"/>
          <w:color w:val="auto"/>
          <w:kern w:val="0"/>
          <w:sz w:val="24"/>
          <w:szCs w:val="24"/>
        </w:rPr>
      </w:pPr>
      <w:r>
        <w:rPr>
          <w:rFonts w:hint="default" w:ascii="Times New Roman" w:hAnsi="Times New Roman" w:eastAsia="方正小标宋_GBK" w:cs="Times New Roman"/>
          <w:color w:val="auto"/>
          <w:kern w:val="0"/>
          <w:sz w:val="36"/>
          <w:szCs w:val="36"/>
        </w:rPr>
        <w:t>2020年度部门整体支出绩效评价基础数据表</w:t>
      </w:r>
    </w:p>
    <w:tbl>
      <w:tblPr>
        <w:tblStyle w:val="5"/>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397"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财政供养人员情况（人）</w:t>
            </w: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编制数</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2020年实际在职人数</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控制率</w:t>
            </w:r>
          </w:p>
        </w:tc>
      </w:tr>
      <w:tr>
        <w:tblPrEx>
          <w:tblCellMar>
            <w:top w:w="0" w:type="dxa"/>
            <w:left w:w="108" w:type="dxa"/>
            <w:bottom w:w="0" w:type="dxa"/>
            <w:right w:w="108" w:type="dxa"/>
          </w:tblCellMar>
        </w:tblPrEx>
        <w:trPr>
          <w:trHeight w:val="397"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038"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30</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35</w:t>
            </w:r>
          </w:p>
        </w:tc>
        <w:tc>
          <w:tcPr>
            <w:tcW w:w="1832" w:type="dxa"/>
            <w:gridSpan w:val="2"/>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1.16%</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经费控制情况（万元）</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2019年决算数</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2020年预算数</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b/>
                <w:bCs/>
                <w:color w:val="auto"/>
                <w:kern w:val="0"/>
                <w:szCs w:val="21"/>
              </w:rPr>
            </w:pPr>
            <w:r>
              <w:rPr>
                <w:rFonts w:hint="default" w:ascii="Times New Roman" w:hAnsi="Times New Roman" w:eastAsia="仿宋_GB2312" w:cs="Times New Roman"/>
                <w:b/>
                <w:bCs/>
                <w:color w:val="auto"/>
                <w:kern w:val="0"/>
                <w:szCs w:val="21"/>
              </w:rPr>
              <w:t>2020年决算数</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3.12</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15.5</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1.65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1、公务用车购置和维护经费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其中：公车购置</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公车运行维护</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1.49</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2、出国经费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3、公务接待</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0.12</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2.5</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0.16</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项目支出：</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486.63</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223.74</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315.64</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1、业务工作经费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20</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2、运行维护经费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486.63</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203.74</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315.64</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3、省级专项资金（一个专项一行）</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公用经费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15.42</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14</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3.51</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其中：办公经费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1.51</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5.5</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1.51</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水费、电费、差旅费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12.91</w:t>
            </w:r>
            <w:r>
              <w:rPr>
                <w:rFonts w:hint="default" w:ascii="Times New Roman" w:hAnsi="Times New Roman" w:eastAsia="仿宋_GB2312" w:cs="Times New Roman"/>
                <w:color w:val="auto"/>
                <w:kern w:val="0"/>
                <w:szCs w:val="21"/>
              </w:rPr>
              <w:t>　</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1.5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会议费、培训费</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1</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5.5</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0.5</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政府采购金额</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3.5</w:t>
            </w:r>
            <w:r>
              <w:rPr>
                <w:rFonts w:hint="default" w:ascii="Times New Roman" w:hAnsi="Times New Roman" w:eastAsia="仿宋_GB2312" w:cs="Times New Roman"/>
                <w:color w:val="auto"/>
                <w:kern w:val="0"/>
                <w:szCs w:val="21"/>
              </w:rPr>
              <w:t>　</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6.7</w:t>
            </w:r>
          </w:p>
        </w:tc>
      </w:tr>
      <w:tr>
        <w:tblPrEx>
          <w:tblCellMar>
            <w:top w:w="0" w:type="dxa"/>
            <w:left w:w="108" w:type="dxa"/>
            <w:bottom w:w="0" w:type="dxa"/>
            <w:right w:w="108" w:type="dxa"/>
          </w:tblCellMar>
        </w:tblPrEx>
        <w:trPr>
          <w:trHeight w:val="397"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部门基本支出预算调整 </w:t>
            </w:r>
          </w:p>
        </w:tc>
        <w:tc>
          <w:tcPr>
            <w:tcW w:w="2038"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p>
        </w:tc>
        <w:tc>
          <w:tcPr>
            <w:tcW w:w="2240"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753.79</w:t>
            </w:r>
          </w:p>
        </w:tc>
        <w:tc>
          <w:tcPr>
            <w:tcW w:w="1832" w:type="dxa"/>
            <w:gridSpan w:val="2"/>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707.19</w:t>
            </w:r>
          </w:p>
        </w:tc>
      </w:tr>
      <w:tr>
        <w:tblPrEx>
          <w:tblCellMar>
            <w:top w:w="0" w:type="dxa"/>
            <w:left w:w="108" w:type="dxa"/>
            <w:bottom w:w="0" w:type="dxa"/>
            <w:right w:w="108" w:type="dxa"/>
          </w:tblCellMar>
        </w:tblPrEx>
        <w:trPr>
          <w:trHeight w:val="837" w:hRule="atLeast"/>
          <w:jc w:val="center"/>
        </w:trPr>
        <w:tc>
          <w:tcPr>
            <w:tcW w:w="3354" w:type="dxa"/>
            <w:vMerge w:val="restart"/>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楼堂馆所控制情况</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（2020年完工项目）</w:t>
            </w:r>
          </w:p>
        </w:tc>
        <w:tc>
          <w:tcPr>
            <w:tcW w:w="118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批复规模</w:t>
            </w:r>
            <w:r>
              <w:rPr>
                <w:rFonts w:hint="default" w:ascii="Times New Roman" w:hAnsi="Times New Roman" w:eastAsia="仿宋_GB2312" w:cs="Times New Roman"/>
                <w:bCs/>
                <w:color w:val="auto"/>
                <w:kern w:val="0"/>
                <w:szCs w:val="21"/>
              </w:rPr>
              <w:br w:type="textWrapping"/>
            </w:r>
            <w:r>
              <w:rPr>
                <w:rFonts w:hint="default" w:ascii="Times New Roman" w:hAnsi="Times New Roman" w:eastAsia="仿宋_GB2312" w:cs="Times New Roman"/>
                <w:bCs/>
                <w:color w:val="auto"/>
                <w:kern w:val="0"/>
                <w:szCs w:val="21"/>
              </w:rPr>
              <w:t>（</w:t>
            </w:r>
            <w:r>
              <w:rPr>
                <w:rFonts w:hint="default" w:ascii="Times New Roman" w:hAnsi="Times New Roman" w:eastAsia="宋体" w:cs="Times New Roman"/>
                <w:bCs/>
                <w:color w:val="auto"/>
                <w:kern w:val="0"/>
                <w:szCs w:val="21"/>
              </w:rPr>
              <w:t>㎡</w:t>
            </w:r>
            <w:r>
              <w:rPr>
                <w:rFonts w:hint="default" w:ascii="Times New Roman" w:hAnsi="Times New Roman" w:eastAsia="仿宋_GB2312" w:cs="Times New Roman"/>
                <w:bCs/>
                <w:color w:val="auto"/>
                <w:kern w:val="0"/>
                <w:szCs w:val="21"/>
              </w:rPr>
              <w:t>）</w:t>
            </w:r>
          </w:p>
        </w:tc>
        <w:tc>
          <w:tcPr>
            <w:tcW w:w="84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实际规模（</w:t>
            </w:r>
            <w:r>
              <w:rPr>
                <w:rFonts w:hint="default" w:ascii="Times New Roman" w:hAnsi="Times New Roman" w:eastAsia="宋体" w:cs="Times New Roman"/>
                <w:bCs/>
                <w:color w:val="auto"/>
                <w:kern w:val="0"/>
                <w:szCs w:val="21"/>
              </w:rPr>
              <w:t>㎡</w:t>
            </w:r>
            <w:r>
              <w:rPr>
                <w:rFonts w:hint="default" w:ascii="Times New Roman" w:hAnsi="Times New Roman" w:eastAsia="仿宋_GB2312" w:cs="Times New Roman"/>
                <w:bCs/>
                <w:color w:val="auto"/>
                <w:kern w:val="0"/>
                <w:szCs w:val="21"/>
              </w:rPr>
              <w:t>）</w:t>
            </w:r>
          </w:p>
        </w:tc>
        <w:tc>
          <w:tcPr>
            <w:tcW w:w="112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规模控制率</w:t>
            </w:r>
          </w:p>
        </w:tc>
        <w:tc>
          <w:tcPr>
            <w:tcW w:w="1111"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预算投资（万元）</w:t>
            </w:r>
          </w:p>
        </w:tc>
        <w:tc>
          <w:tcPr>
            <w:tcW w:w="969"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实际投资（万元）</w:t>
            </w:r>
          </w:p>
        </w:tc>
        <w:tc>
          <w:tcPr>
            <w:tcW w:w="863"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bCs/>
                <w:color w:val="auto"/>
                <w:kern w:val="0"/>
                <w:szCs w:val="21"/>
              </w:rPr>
            </w:pPr>
            <w:r>
              <w:rPr>
                <w:rFonts w:hint="default" w:ascii="Times New Roman" w:hAnsi="Times New Roman" w:eastAsia="仿宋_GB2312" w:cs="Times New Roman"/>
                <w:bCs/>
                <w:color w:val="auto"/>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118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4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2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11"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969"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63" w:type="dxa"/>
            <w:tcBorders>
              <w:top w:val="nil"/>
              <w:left w:val="nil"/>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756" w:hRule="atLeast"/>
          <w:jc w:val="center"/>
        </w:trPr>
        <w:tc>
          <w:tcPr>
            <w:tcW w:w="3354"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widowControl/>
        <w:jc w:val="left"/>
        <w:rPr>
          <w:rFonts w:hint="default" w:ascii="Times New Roman" w:hAnsi="Times New Roman" w:eastAsia="仿宋_GB2312" w:cs="Times New Roman"/>
          <w:color w:val="auto"/>
          <w:kern w:val="0"/>
          <w:sz w:val="22"/>
          <w:szCs w:val="24"/>
        </w:rPr>
      </w:pPr>
      <w:r>
        <w:rPr>
          <w:rFonts w:hint="default" w:ascii="Times New Roman" w:hAnsi="Times New Roman" w:eastAsia="仿宋_GB2312" w:cs="Times New Roman"/>
          <w:color w:val="auto"/>
          <w:kern w:val="0"/>
          <w:sz w:val="22"/>
          <w:szCs w:val="24"/>
        </w:rPr>
        <w:t>说明：“项目支出”需要填报基本支出以外的所有项目支出情况，“公用经费”填报基本支出中的一般商品和服务支出。</w:t>
      </w:r>
    </w:p>
    <w:p>
      <w:pPr>
        <w:pStyle w:val="9"/>
        <w:jc w:val="both"/>
        <w:rPr>
          <w:rFonts w:hint="default" w:ascii="Times New Roman" w:hAnsi="Times New Roman" w:cs="Times New Roman"/>
          <w:color w:val="auto"/>
          <w:sz w:val="72"/>
          <w:szCs w:val="72"/>
        </w:rPr>
      </w:pPr>
    </w:p>
    <w:p>
      <w:pPr>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br w:type="page"/>
      </w:r>
    </w:p>
    <w:p>
      <w:pPr>
        <w:widowControl/>
        <w:spacing w:after="120" w:afterLines="50"/>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2</w:t>
      </w:r>
    </w:p>
    <w:p>
      <w:pPr>
        <w:widowControl/>
        <w:spacing w:after="120" w:afterLines="50"/>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2020年度部门整体支出绩效自评表</w:t>
      </w:r>
    </w:p>
    <w:tbl>
      <w:tblPr>
        <w:tblStyle w:val="5"/>
        <w:tblW w:w="9993" w:type="dxa"/>
        <w:jc w:val="center"/>
        <w:tblLayout w:type="fixed"/>
        <w:tblCellMar>
          <w:top w:w="0" w:type="dxa"/>
          <w:left w:w="108" w:type="dxa"/>
          <w:bottom w:w="0" w:type="dxa"/>
          <w:right w:w="108" w:type="dxa"/>
        </w:tblCellMar>
      </w:tblPr>
      <w:tblGrid>
        <w:gridCol w:w="867"/>
        <w:gridCol w:w="814"/>
        <w:gridCol w:w="696"/>
        <w:gridCol w:w="736"/>
        <w:gridCol w:w="1129"/>
        <w:gridCol w:w="127"/>
        <w:gridCol w:w="1169"/>
        <w:gridCol w:w="1402"/>
        <w:gridCol w:w="227"/>
        <w:gridCol w:w="482"/>
        <w:gridCol w:w="258"/>
        <w:gridCol w:w="734"/>
        <w:gridCol w:w="219"/>
        <w:gridCol w:w="1133"/>
      </w:tblGrid>
      <w:tr>
        <w:trPr>
          <w:trHeight w:val="689" w:hRule="atLeast"/>
          <w:jc w:val="center"/>
        </w:trPr>
        <w:tc>
          <w:tcPr>
            <w:tcW w:w="86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省级预算部门名称</w:t>
            </w:r>
          </w:p>
        </w:tc>
        <w:tc>
          <w:tcPr>
            <w:tcW w:w="9126" w:type="dxa"/>
            <w:gridSpan w:val="13"/>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湖南广播电视网络传输中心</w:t>
            </w: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trHeight w:val="468" w:hRule="atLeast"/>
          <w:jc w:val="center"/>
        </w:trPr>
        <w:tc>
          <w:tcPr>
            <w:tcW w:w="867"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年度预</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算申请</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（万元）</w:t>
            </w:r>
          </w:p>
        </w:tc>
        <w:tc>
          <w:tcPr>
            <w:tcW w:w="2246"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年初</w:t>
            </w:r>
          </w:p>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预算数</w:t>
            </w:r>
          </w:p>
        </w:tc>
        <w:tc>
          <w:tcPr>
            <w:tcW w:w="1169"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w:t>
            </w:r>
          </w:p>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预算数</w:t>
            </w:r>
          </w:p>
        </w:tc>
        <w:tc>
          <w:tcPr>
            <w:tcW w:w="140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全年执行数</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分值</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执行率</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得分</w:t>
            </w:r>
          </w:p>
        </w:tc>
      </w:tr>
      <w:tr>
        <w:tblPrEx>
          <w:tblCellMar>
            <w:top w:w="0" w:type="dxa"/>
            <w:left w:w="108" w:type="dxa"/>
            <w:bottom w:w="0" w:type="dxa"/>
            <w:right w:w="108" w:type="dxa"/>
          </w:tblCellMar>
        </w:tblPrEx>
        <w:trPr>
          <w:trHeight w:val="389" w:hRule="atLeast"/>
          <w:jc w:val="center"/>
        </w:trPr>
        <w:tc>
          <w:tcPr>
            <w:tcW w:w="867" w:type="dxa"/>
            <w:vMerge w:val="continue"/>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2246" w:type="dxa"/>
            <w:gridSpan w:val="3"/>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kern w:val="0"/>
                <w:szCs w:val="21"/>
              </w:rPr>
              <w:t>年度资金总额</w:t>
            </w:r>
          </w:p>
        </w:tc>
        <w:tc>
          <w:tcPr>
            <w:tcW w:w="1256"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1050.95</w:t>
            </w:r>
          </w:p>
        </w:tc>
        <w:tc>
          <w:tcPr>
            <w:tcW w:w="1169"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1415.68</w:t>
            </w:r>
          </w:p>
        </w:tc>
        <w:tc>
          <w:tcPr>
            <w:tcW w:w="1402" w:type="dxa"/>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1088.33</w:t>
            </w:r>
          </w:p>
        </w:tc>
        <w:tc>
          <w:tcPr>
            <w:tcW w:w="709"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10</w:t>
            </w:r>
          </w:p>
        </w:tc>
        <w:tc>
          <w:tcPr>
            <w:tcW w:w="99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0.77</w:t>
            </w:r>
          </w:p>
        </w:tc>
        <w:tc>
          <w:tcPr>
            <w:tcW w:w="1352" w:type="dxa"/>
            <w:gridSpan w:val="2"/>
            <w:tcBorders>
              <w:top w:val="nil"/>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szCs w:val="21"/>
                <w:lang w:val="en-US" w:eastAsia="zh-CN"/>
              </w:rPr>
            </w:pPr>
            <w:r>
              <w:rPr>
                <w:rFonts w:hint="default" w:ascii="Times New Roman" w:hAnsi="Times New Roman" w:eastAsia="仿宋_GB2312" w:cs="Times New Roman"/>
                <w:color w:val="auto"/>
                <w:szCs w:val="21"/>
                <w:lang w:val="en-US" w:eastAsia="zh-CN"/>
              </w:rPr>
              <w:t>7.7</w:t>
            </w:r>
          </w:p>
        </w:tc>
      </w:tr>
      <w:tr>
        <w:tblPrEx>
          <w:tblCellMar>
            <w:top w:w="0" w:type="dxa"/>
            <w:left w:w="108" w:type="dxa"/>
            <w:bottom w:w="0" w:type="dxa"/>
            <w:right w:w="108" w:type="dxa"/>
          </w:tblCellMar>
        </w:tblPrEx>
        <w:trPr>
          <w:trHeight w:val="366" w:hRule="atLeast"/>
          <w:jc w:val="center"/>
        </w:trPr>
        <w:tc>
          <w:tcPr>
            <w:tcW w:w="867"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按收入性质分：</w:t>
            </w:r>
          </w:p>
        </w:tc>
        <w:tc>
          <w:tcPr>
            <w:tcW w:w="4455"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按支出性质分：</w:t>
            </w:r>
          </w:p>
        </w:tc>
      </w:tr>
      <w:tr>
        <w:tblPrEx>
          <w:tblCellMar>
            <w:top w:w="0" w:type="dxa"/>
            <w:left w:w="108" w:type="dxa"/>
            <w:bottom w:w="0" w:type="dxa"/>
            <w:right w:w="108" w:type="dxa"/>
          </w:tblCellMar>
        </w:tblPrEx>
        <w:trPr>
          <w:trHeight w:val="379" w:hRule="atLeast"/>
          <w:jc w:val="center"/>
        </w:trPr>
        <w:tc>
          <w:tcPr>
            <w:tcW w:w="867"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xml:space="preserve">  其中：  一般公共预算：</w:t>
            </w:r>
            <w:r>
              <w:rPr>
                <w:rFonts w:hint="default" w:ascii="Times New Roman" w:hAnsi="Times New Roman" w:eastAsia="仿宋_GB2312" w:cs="Times New Roman"/>
                <w:color w:val="auto"/>
                <w:kern w:val="0"/>
                <w:szCs w:val="21"/>
                <w:lang w:val="en-US" w:eastAsia="zh-CN"/>
              </w:rPr>
              <w:t>963.19</w:t>
            </w:r>
          </w:p>
        </w:tc>
        <w:tc>
          <w:tcPr>
            <w:tcW w:w="4455"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其中：基本支出：</w:t>
            </w:r>
            <w:r>
              <w:rPr>
                <w:rFonts w:hint="default" w:ascii="Times New Roman" w:hAnsi="Times New Roman" w:eastAsia="仿宋_GB2312" w:cs="Times New Roman"/>
                <w:color w:val="auto"/>
                <w:kern w:val="0"/>
                <w:szCs w:val="21"/>
                <w:lang w:val="en-US" w:eastAsia="zh-CN"/>
              </w:rPr>
              <w:t>707.19</w:t>
            </w:r>
          </w:p>
        </w:tc>
      </w:tr>
      <w:tr>
        <w:tblPrEx>
          <w:tblCellMar>
            <w:top w:w="0" w:type="dxa"/>
            <w:left w:w="108" w:type="dxa"/>
            <w:bottom w:w="0" w:type="dxa"/>
            <w:right w:w="108" w:type="dxa"/>
          </w:tblCellMar>
        </w:tblPrEx>
        <w:trPr>
          <w:trHeight w:val="324" w:hRule="atLeast"/>
          <w:jc w:val="center"/>
        </w:trPr>
        <w:tc>
          <w:tcPr>
            <w:tcW w:w="867"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政府性基金拨款：</w:t>
            </w:r>
          </w:p>
        </w:tc>
        <w:tc>
          <w:tcPr>
            <w:tcW w:w="4455" w:type="dxa"/>
            <w:gridSpan w:val="7"/>
            <w:tcBorders>
              <w:top w:val="nil"/>
              <w:left w:val="nil"/>
              <w:bottom w:val="single" w:color="auto" w:sz="4" w:space="0"/>
              <w:right w:val="single" w:color="auto" w:sz="4" w:space="0"/>
            </w:tcBorders>
            <w:vAlign w:val="center"/>
          </w:tcPr>
          <w:p>
            <w:pPr>
              <w:widowControl/>
              <w:spacing w:line="240" w:lineRule="exact"/>
              <w:ind w:firstLine="639" w:firstLineChars="3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项目支出：</w:t>
            </w:r>
            <w:r>
              <w:rPr>
                <w:rFonts w:hint="default" w:ascii="Times New Roman" w:hAnsi="Times New Roman" w:eastAsia="仿宋_GB2312" w:cs="Times New Roman"/>
                <w:color w:val="auto"/>
                <w:kern w:val="0"/>
                <w:szCs w:val="21"/>
                <w:lang w:val="en-US" w:eastAsia="zh-CN"/>
              </w:rPr>
              <w:t>315.64</w:t>
            </w:r>
          </w:p>
        </w:tc>
      </w:tr>
      <w:tr>
        <w:tblPrEx>
          <w:tblCellMar>
            <w:top w:w="0" w:type="dxa"/>
            <w:left w:w="108" w:type="dxa"/>
            <w:bottom w:w="0" w:type="dxa"/>
            <w:right w:w="108" w:type="dxa"/>
          </w:tblCellMar>
        </w:tblPrEx>
        <w:trPr>
          <w:trHeight w:val="324" w:hRule="atLeast"/>
          <w:jc w:val="center"/>
        </w:trPr>
        <w:tc>
          <w:tcPr>
            <w:tcW w:w="867" w:type="dxa"/>
            <w:vMerge w:val="continue"/>
            <w:tcBorders>
              <w:left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纳入专户管理的非税收入拨款：</w:t>
            </w:r>
          </w:p>
        </w:tc>
        <w:tc>
          <w:tcPr>
            <w:tcW w:w="4455"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47" w:hRule="atLeast"/>
          <w:jc w:val="center"/>
        </w:trPr>
        <w:tc>
          <w:tcPr>
            <w:tcW w:w="867" w:type="dxa"/>
            <w:vMerge w:val="continue"/>
            <w:tcBorders>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其他资金：</w:t>
            </w:r>
            <w:r>
              <w:rPr>
                <w:rFonts w:hint="default" w:ascii="Times New Roman" w:hAnsi="Times New Roman" w:eastAsia="仿宋_GB2312" w:cs="Times New Roman"/>
                <w:color w:val="auto"/>
                <w:kern w:val="0"/>
                <w:szCs w:val="21"/>
                <w:lang w:val="en-US" w:eastAsia="zh-CN"/>
              </w:rPr>
              <w:t>203.8</w:t>
            </w:r>
          </w:p>
        </w:tc>
        <w:tc>
          <w:tcPr>
            <w:tcW w:w="4455" w:type="dxa"/>
            <w:gridSpan w:val="7"/>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325" w:hRule="atLeast"/>
          <w:jc w:val="center"/>
        </w:trPr>
        <w:tc>
          <w:tcPr>
            <w:tcW w:w="867" w:type="dxa"/>
            <w:vMerge w:val="restart"/>
            <w:tcBorders>
              <w:top w:val="nil"/>
              <w:left w:val="single" w:color="auto" w:sz="4" w:space="0"/>
              <w:bottom w:val="single" w:color="000000"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年度总体目标</w:t>
            </w:r>
          </w:p>
        </w:tc>
        <w:tc>
          <w:tcPr>
            <w:tcW w:w="4671" w:type="dxa"/>
            <w:gridSpan w:val="6"/>
            <w:tcBorders>
              <w:top w:val="single" w:color="auto" w:sz="4" w:space="0"/>
              <w:left w:val="nil"/>
              <w:bottom w:val="single" w:color="auto" w:sz="4" w:space="0"/>
              <w:right w:val="single" w:color="000000"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预期目标</w:t>
            </w:r>
          </w:p>
        </w:tc>
        <w:tc>
          <w:tcPr>
            <w:tcW w:w="4455" w:type="dxa"/>
            <w:gridSpan w:val="7"/>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实际完成情况　</w:t>
            </w:r>
          </w:p>
        </w:tc>
      </w:tr>
      <w:tr>
        <w:tblPrEx>
          <w:tblCellMar>
            <w:top w:w="0" w:type="dxa"/>
            <w:left w:w="108" w:type="dxa"/>
            <w:bottom w:w="0" w:type="dxa"/>
            <w:right w:w="108" w:type="dxa"/>
          </w:tblCellMar>
        </w:tblPrEx>
        <w:trPr>
          <w:trHeight w:val="2051" w:hRule="atLeast"/>
          <w:jc w:val="center"/>
        </w:trPr>
        <w:tc>
          <w:tcPr>
            <w:tcW w:w="867" w:type="dxa"/>
            <w:vMerge w:val="continue"/>
            <w:tcBorders>
              <w:top w:val="nil"/>
              <w:left w:val="single" w:color="auto" w:sz="4" w:space="0"/>
              <w:bottom w:val="single" w:color="000000"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p>
        </w:tc>
        <w:tc>
          <w:tcPr>
            <w:tcW w:w="4671" w:type="dxa"/>
            <w:gridSpan w:val="6"/>
            <w:tcBorders>
              <w:top w:val="single" w:color="auto" w:sz="4" w:space="0"/>
              <w:left w:val="nil"/>
              <w:bottom w:val="single" w:color="auto" w:sz="4" w:space="0"/>
              <w:right w:val="single" w:color="000000" w:sz="4" w:space="0"/>
            </w:tcBorders>
            <w:vAlign w:val="center"/>
          </w:tcPr>
          <w:p>
            <w:pPr>
              <w:pStyle w:val="12"/>
              <w:keepNext w:val="0"/>
              <w:keepLines w:val="0"/>
              <w:pageBreakBefore w:val="0"/>
              <w:widowControl w:val="0"/>
              <w:kinsoku/>
              <w:wordWrap/>
              <w:overflowPunct/>
              <w:topLinePunct w:val="0"/>
              <w:autoSpaceDE/>
              <w:autoSpaceDN/>
              <w:bidi w:val="0"/>
              <w:adjustRightInd/>
              <w:snapToGrid/>
              <w:spacing w:before="157" w:beforeLines="50" w:line="120" w:lineRule="auto"/>
              <w:ind w:left="0" w:leftChars="0" w:right="0" w:rightChars="0" w:firstLine="406" w:firstLineChars="200"/>
              <w:jc w:val="both"/>
              <w:textAlignment w:val="auto"/>
              <w:outlineLvl w:val="9"/>
              <w:rPr>
                <w:rFonts w:hint="default" w:ascii="Times New Roman" w:hAnsi="Times New Roman" w:eastAsia="仿宋_GB2312" w:cs="Times New Roman"/>
                <w:color w:val="auto"/>
                <w:kern w:val="0"/>
                <w:sz w:val="20"/>
                <w:szCs w:val="20"/>
                <w:lang w:val="en-US" w:eastAsia="zh-CN" w:bidi="ar-SA"/>
              </w:rPr>
            </w:pPr>
            <w:r>
              <w:rPr>
                <w:rFonts w:hint="default" w:ascii="Times New Roman" w:hAnsi="Times New Roman" w:eastAsia="仿宋_GB2312" w:cs="Times New Roman"/>
                <w:color w:val="auto"/>
                <w:kern w:val="0"/>
                <w:sz w:val="20"/>
                <w:szCs w:val="20"/>
                <w:lang w:val="en-US" w:eastAsia="zh-CN" w:bidi="ar-SA"/>
              </w:rPr>
              <w:t>深入开展“不忘初心、牢记使命”主题教育，不断推进“两学一做”学习教育的常态化、制度化，不断加强中心党建工作，深化中心文明单位创建工作；圆满完成各项安全播出任务，确保安全播出零事故；加强内部管理，各部室全面完成年度工作任务。</w:t>
            </w:r>
          </w:p>
          <w:p>
            <w:pPr>
              <w:widowControl/>
              <w:spacing w:line="240" w:lineRule="auto"/>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1"/>
                <w:szCs w:val="21"/>
                <w:lang w:val="en-US" w:eastAsia="zh-CN" w:bidi="ar-SA"/>
              </w:rPr>
              <w:t>　　</w:t>
            </w:r>
          </w:p>
        </w:tc>
        <w:tc>
          <w:tcPr>
            <w:tcW w:w="4455" w:type="dxa"/>
            <w:gridSpan w:val="7"/>
            <w:tcBorders>
              <w:top w:val="single" w:color="auto" w:sz="4" w:space="0"/>
              <w:left w:val="nil"/>
              <w:bottom w:val="single" w:color="auto" w:sz="4" w:space="0"/>
              <w:right w:val="single" w:color="auto" w:sz="4" w:space="0"/>
            </w:tcBorders>
            <w:vAlign w:val="center"/>
          </w:tcPr>
          <w:p>
            <w:pPr>
              <w:widowControl/>
              <w:spacing w:line="240" w:lineRule="auto"/>
              <w:ind w:firstLine="406" w:firstLineChars="200"/>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0"/>
                <w:szCs w:val="20"/>
                <w:lang w:val="en-US" w:eastAsia="zh-CN" w:bidi="ar-SA"/>
              </w:rPr>
              <w:t>2020年，在局党组的正确领导下，网络中心领导班子带领全体干部职工紧紧围绕《2020年湖南省广播电视工作要点》和中心年初提出的全年工作任务，迎难而上，努力拼博，各项工作都有进展，在安全播出、事业建设、经营管理、队伍建设等方面取得了新的成绩</w:t>
            </w:r>
            <w:r>
              <w:rPr>
                <w:rFonts w:hint="default" w:ascii="Times New Roman" w:hAnsi="Times New Roman" w:eastAsia="仿宋_GB2312" w:cs="Times New Roman"/>
                <w:color w:val="auto"/>
                <w:kern w:val="0"/>
                <w:sz w:val="21"/>
                <w:szCs w:val="21"/>
                <w:lang w:val="en-US" w:eastAsia="zh-CN" w:bidi="ar-SA"/>
              </w:rPr>
              <w:t>。</w:t>
            </w:r>
          </w:p>
        </w:tc>
      </w:tr>
      <w:tr>
        <w:tblPrEx>
          <w:tblCellMar>
            <w:top w:w="0" w:type="dxa"/>
            <w:left w:w="108" w:type="dxa"/>
            <w:bottom w:w="0" w:type="dxa"/>
            <w:right w:w="108" w:type="dxa"/>
          </w:tblCellMar>
        </w:tblPrEx>
        <w:trPr>
          <w:jc w:val="center"/>
        </w:trPr>
        <w:tc>
          <w:tcPr>
            <w:tcW w:w="867" w:type="dxa"/>
            <w:vMerge w:val="restart"/>
            <w:tcBorders>
              <w:top w:val="nil"/>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814"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一级指标</w:t>
            </w:r>
          </w:p>
        </w:tc>
        <w:tc>
          <w:tcPr>
            <w:tcW w:w="696"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二级指标</w:t>
            </w:r>
          </w:p>
        </w:tc>
        <w:tc>
          <w:tcPr>
            <w:tcW w:w="1865"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三级指标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指标值</w:t>
            </w:r>
          </w:p>
        </w:tc>
        <w:tc>
          <w:tcPr>
            <w:tcW w:w="1629" w:type="dxa"/>
            <w:gridSpan w:val="2"/>
            <w:tcBorders>
              <w:top w:val="nil"/>
              <w:left w:val="nil"/>
              <w:bottom w:val="single" w:color="auto" w:sz="4" w:space="0"/>
              <w:right w:val="single" w:color="auto" w:sz="4" w:space="0"/>
            </w:tcBorders>
            <w:vAlign w:val="center"/>
          </w:tcPr>
          <w:p>
            <w:pPr>
              <w:widowControl/>
              <w:spacing w:line="240" w:lineRule="exac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实际完成值</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分值</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得分</w:t>
            </w:r>
          </w:p>
        </w:tc>
        <w:tc>
          <w:tcPr>
            <w:tcW w:w="1133" w:type="dxa"/>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偏差原因</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分析及</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改进措施</w:t>
            </w:r>
          </w:p>
        </w:tc>
      </w:tr>
      <w:tr>
        <w:tblPrEx>
          <w:tblCellMar>
            <w:top w:w="0" w:type="dxa"/>
            <w:left w:w="108" w:type="dxa"/>
            <w:bottom w:w="0" w:type="dxa"/>
            <w:right w:w="108" w:type="dxa"/>
          </w:tblCellMar>
        </w:tblPrEx>
        <w:trPr>
          <w:trHeight w:val="474"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产出指标</w:t>
            </w: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(50分)</w:t>
            </w:r>
          </w:p>
        </w:tc>
        <w:tc>
          <w:tcPr>
            <w:tcW w:w="696"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安全播出率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零事故</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全年安播零事故</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395"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right w:val="single" w:color="auto" w:sz="4" w:space="0"/>
            </w:tcBorders>
            <w:vAlign w:val="center"/>
          </w:tcPr>
          <w:p>
            <w:pPr>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预算执行率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16"/>
                <w:szCs w:val="16"/>
                <w:lang w:val="en-US" w:eastAsia="zh-CN"/>
              </w:rPr>
              <w:t>不超全年预算1415.68万元</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16"/>
                <w:szCs w:val="16"/>
              </w:rPr>
            </w:pPr>
            <w:r>
              <w:rPr>
                <w:rFonts w:hint="default" w:ascii="Times New Roman" w:hAnsi="Times New Roman" w:eastAsia="仿宋_GB2312" w:cs="Times New Roman"/>
                <w:color w:val="auto"/>
                <w:kern w:val="0"/>
                <w:sz w:val="20"/>
                <w:szCs w:val="20"/>
                <w:lang w:val="en-US" w:eastAsia="zh-CN"/>
              </w:rPr>
              <w:t>1305.04万元</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439"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年度工作效率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完成年初工作目标</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圆满完成任务</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526"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资金使用管理情况</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预算开支是否规范，是否按规定流程进行支付</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严格按照预算要求，支付时遵循制度、审批手续齐全</w:t>
            </w:r>
            <w:r>
              <w:rPr>
                <w:rFonts w:hint="default" w:ascii="Times New Roman" w:hAnsi="Times New Roman" w:eastAsia="仿宋_GB2312" w:cs="Times New Roman"/>
                <w:color w:val="auto"/>
                <w:kern w:val="0"/>
                <w:sz w:val="20"/>
                <w:szCs w:val="20"/>
              </w:rPr>
              <w:t>　</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415"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两大监管平台运行情况</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平稳有序</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平稳有序</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602"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广播电视信号及时传输情况</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365天不间断的播送广播电视信号</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365天</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right w:val="single" w:color="auto" w:sz="4" w:space="0"/>
            </w:tcBorders>
            <w:vAlign w:val="center"/>
          </w:tcPr>
          <w:p>
            <w:pPr>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重大项目实施进展</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监管平台升级改造</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平台改造圆满完成</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工作完成及时性</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各部门工作完成情况</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各部门及时完成工作任务</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trHeight w:val="389" w:hRule="atLeast"/>
          <w:jc w:val="center"/>
        </w:trPr>
        <w:tc>
          <w:tcPr>
            <w:tcW w:w="867" w:type="dxa"/>
            <w:vMerge w:val="continue"/>
            <w:tcBorders>
              <w:left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eastAsia="zh-CN"/>
              </w:rPr>
            </w:pPr>
            <w:r>
              <w:rPr>
                <w:rFonts w:hint="default" w:ascii="Times New Roman" w:hAnsi="Times New Roman" w:eastAsia="仿宋_GB2312" w:cs="Times New Roman"/>
                <w:color w:val="auto"/>
                <w:kern w:val="0"/>
                <w:sz w:val="20"/>
                <w:szCs w:val="20"/>
                <w:lang w:val="en-US" w:eastAsia="zh-CN"/>
              </w:rPr>
              <w:t>全年总支出控制率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有无超标</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无超标</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三公经费节约率</w:t>
            </w:r>
          </w:p>
        </w:tc>
        <w:tc>
          <w:tcPr>
            <w:tcW w:w="1296"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有无超标</w:t>
            </w:r>
          </w:p>
        </w:tc>
        <w:tc>
          <w:tcPr>
            <w:tcW w:w="1629"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无超标，较上年节约1.47万</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p>
            <w:pPr>
              <w:widowControl/>
              <w:spacing w:line="240" w:lineRule="exact"/>
              <w:jc w:val="center"/>
              <w:rPr>
                <w:rFonts w:hint="default" w:ascii="Times New Roman" w:hAnsi="Times New Roman" w:eastAsia="仿宋_GB2312" w:cs="Times New Roman"/>
                <w:color w:val="auto"/>
                <w:kern w:val="0"/>
                <w:szCs w:val="21"/>
              </w:rPr>
            </w:pPr>
          </w:p>
          <w:p>
            <w:pPr>
              <w:widowControl/>
              <w:spacing w:line="240" w:lineRule="exact"/>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w:t>
            </w:r>
            <w:r>
              <w:rPr>
                <w:rFonts w:hint="default" w:ascii="Times New Roman" w:hAnsi="Times New Roman" w:eastAsia="仿宋_GB2312" w:cs="Times New Roman"/>
                <w:color w:val="auto"/>
                <w:kern w:val="0"/>
                <w:szCs w:val="21"/>
                <w:lang w:val="en-US" w:eastAsia="zh-CN"/>
              </w:rPr>
              <w:t>30</w:t>
            </w:r>
            <w:r>
              <w:rPr>
                <w:rFonts w:hint="default" w:ascii="Times New Roman" w:hAnsi="Times New Roman" w:eastAsia="仿宋_GB2312" w:cs="Times New Roman"/>
                <w:color w:val="auto"/>
                <w:kern w:val="0"/>
                <w:szCs w:val="21"/>
              </w:rPr>
              <w:t>分)</w:t>
            </w:r>
          </w:p>
        </w:tc>
        <w:tc>
          <w:tcPr>
            <w:tcW w:w="696"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经济效益指标</w:t>
            </w:r>
          </w:p>
        </w:tc>
        <w:tc>
          <w:tcPr>
            <w:tcW w:w="186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保障正常节目收视率</w:t>
            </w:r>
          </w:p>
        </w:tc>
        <w:tc>
          <w:tcPr>
            <w:tcW w:w="129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安全播出率</w:t>
            </w:r>
          </w:p>
        </w:tc>
        <w:tc>
          <w:tcPr>
            <w:tcW w:w="162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安全播出零事故，保障正常节目收视率</w:t>
            </w:r>
          </w:p>
        </w:tc>
        <w:tc>
          <w:tcPr>
            <w:tcW w:w="7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10</w:t>
            </w:r>
          </w:p>
        </w:tc>
        <w:tc>
          <w:tcPr>
            <w:tcW w:w="9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10</w:t>
            </w:r>
          </w:p>
        </w:tc>
        <w:tc>
          <w:tcPr>
            <w:tcW w:w="11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w:t>
            </w:r>
            <w:r>
              <w:rPr>
                <w:rFonts w:hint="default" w:ascii="Times New Roman" w:hAnsi="Times New Roman" w:eastAsia="仿宋_GB2312" w:cs="Times New Roman"/>
                <w:color w:val="auto"/>
                <w:kern w:val="0"/>
                <w:szCs w:val="21"/>
                <w:lang w:val="en-US" w:eastAsia="zh-CN"/>
              </w:rPr>
              <w:t>会</w:t>
            </w:r>
            <w:r>
              <w:rPr>
                <w:rFonts w:hint="default" w:ascii="Times New Roman" w:hAnsi="Times New Roman" w:eastAsia="仿宋_GB2312" w:cs="Times New Roman"/>
                <w:color w:val="auto"/>
                <w:kern w:val="0"/>
                <w:szCs w:val="21"/>
              </w:rPr>
              <w:t>效益指标</w:t>
            </w:r>
          </w:p>
        </w:tc>
        <w:tc>
          <w:tcPr>
            <w:tcW w:w="186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重点防护期的节目安全播出</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零事故</w:t>
            </w:r>
          </w:p>
        </w:tc>
        <w:tc>
          <w:tcPr>
            <w:tcW w:w="1629" w:type="dxa"/>
            <w:gridSpan w:val="2"/>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r>
              <w:rPr>
                <w:rFonts w:hint="default" w:ascii="Times New Roman" w:hAnsi="Times New Roman" w:eastAsia="仿宋_GB2312" w:cs="Times New Roman"/>
                <w:color w:val="auto"/>
                <w:kern w:val="0"/>
                <w:sz w:val="20"/>
                <w:szCs w:val="20"/>
                <w:lang w:val="en-US" w:eastAsia="zh-CN"/>
              </w:rPr>
              <w:t>零事故</w:t>
            </w:r>
          </w:p>
        </w:tc>
        <w:tc>
          <w:tcPr>
            <w:tcW w:w="74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lang w:val="en-US" w:eastAsia="zh-CN"/>
              </w:rPr>
              <w:t>5</w:t>
            </w:r>
          </w:p>
        </w:tc>
        <w:tc>
          <w:tcPr>
            <w:tcW w:w="1133"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 w:val="20"/>
                <w:szCs w:val="20"/>
              </w:rPr>
            </w:pPr>
            <w:r>
              <w:rPr>
                <w:rFonts w:hint="default" w:ascii="Times New Roman" w:hAnsi="Times New Roman" w:eastAsia="仿宋_GB2312" w:cs="Times New Roman"/>
                <w:color w:val="auto"/>
                <w:kern w:val="0"/>
                <w:sz w:val="20"/>
                <w:szCs w:val="20"/>
              </w:rPr>
              <w:t>　</w:t>
            </w:r>
          </w:p>
        </w:tc>
      </w:tr>
      <w:tr>
        <w:tblPrEx>
          <w:tblCellMar>
            <w:top w:w="0" w:type="dxa"/>
            <w:left w:w="108" w:type="dxa"/>
            <w:bottom w:w="0" w:type="dxa"/>
            <w:right w:w="108" w:type="dxa"/>
          </w:tblCellMar>
        </w:tblPrEx>
        <w:trPr>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top w:val="single" w:color="auto" w:sz="4" w:space="0"/>
              <w:left w:val="nil"/>
              <w:bottom w:val="single" w:color="auto" w:sz="4" w:space="0"/>
              <w:right w:val="single" w:color="auto" w:sz="4" w:space="0"/>
            </w:tcBorders>
            <w:vAlign w:val="center"/>
          </w:tcPr>
          <w:p>
            <w:pPr>
              <w:spacing w:line="240" w:lineRule="exact"/>
              <w:jc w:val="center"/>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国干网的运行安全</w:t>
            </w:r>
          </w:p>
        </w:tc>
        <w:tc>
          <w:tcPr>
            <w:tcW w:w="1296"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零事故</w:t>
            </w:r>
          </w:p>
        </w:tc>
        <w:tc>
          <w:tcPr>
            <w:tcW w:w="1629"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网络传输畅通无事故</w:t>
            </w:r>
          </w:p>
        </w:tc>
        <w:tc>
          <w:tcPr>
            <w:tcW w:w="74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restart"/>
            <w:tcBorders>
              <w:top w:val="nil"/>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生态效益指标</w:t>
            </w: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各项目实施过程中没有造成环境污染和人体伤害</w:t>
            </w:r>
          </w:p>
        </w:tc>
        <w:tc>
          <w:tcPr>
            <w:tcW w:w="1296"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162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74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为美丽乡村建设帮助度</w:t>
            </w:r>
          </w:p>
        </w:tc>
        <w:tc>
          <w:tcPr>
            <w:tcW w:w="1296"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1629"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740"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trHeight w:val="48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p>
        </w:tc>
        <w:tc>
          <w:tcPr>
            <w:tcW w:w="81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lang w:val="en-US" w:eastAsia="zh-CN"/>
              </w:rPr>
              <w:t>10分）</w:t>
            </w:r>
          </w:p>
        </w:tc>
        <w:tc>
          <w:tcPr>
            <w:tcW w:w="696" w:type="dxa"/>
            <w:vMerge w:val="restart"/>
            <w:tcBorders>
              <w:top w:val="single" w:color="auto" w:sz="4" w:space="0"/>
              <w:left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8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中心两大平台的平稳运行为持续安全播出提供了保障</w:t>
            </w:r>
          </w:p>
        </w:tc>
        <w:tc>
          <w:tcPr>
            <w:tcW w:w="129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162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7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trHeight w:val="27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1865"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大映传媒创新新农村电影服务持续推动了影视制作繁荣发展</w:t>
            </w:r>
          </w:p>
        </w:tc>
        <w:tc>
          <w:tcPr>
            <w:tcW w:w="1296"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1629"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100%</w:t>
            </w:r>
          </w:p>
        </w:tc>
        <w:tc>
          <w:tcPr>
            <w:tcW w:w="740"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953" w:type="dxa"/>
            <w:gridSpan w:val="2"/>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5</w:t>
            </w:r>
          </w:p>
        </w:tc>
        <w:tc>
          <w:tcPr>
            <w:tcW w:w="1133"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trHeight w:val="48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restart"/>
            <w:tcBorders>
              <w:top w:val="single" w:color="auto" w:sz="4" w:space="0"/>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（10分）</w:t>
            </w:r>
          </w:p>
        </w:tc>
        <w:tc>
          <w:tcPr>
            <w:tcW w:w="696" w:type="dxa"/>
            <w:vMerge w:val="restart"/>
            <w:tcBorders>
              <w:top w:val="single" w:color="auto" w:sz="4" w:space="0"/>
              <w:left w:val="nil"/>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服务对象满意度指标</w:t>
            </w: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为相关部门提供优质的服务</w:t>
            </w:r>
          </w:p>
        </w:tc>
        <w:tc>
          <w:tcPr>
            <w:tcW w:w="1296"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100%</w:t>
            </w:r>
          </w:p>
        </w:tc>
        <w:tc>
          <w:tcPr>
            <w:tcW w:w="1629"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100%</w:t>
            </w:r>
          </w:p>
        </w:tc>
        <w:tc>
          <w:tcPr>
            <w:tcW w:w="74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5</w:t>
            </w:r>
          </w:p>
        </w:tc>
        <w:tc>
          <w:tcPr>
            <w:tcW w:w="953"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5</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trHeight w:val="270" w:hRule="atLeast"/>
          <w:jc w:val="center"/>
        </w:trPr>
        <w:tc>
          <w:tcPr>
            <w:tcW w:w="867"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814" w:type="dxa"/>
            <w:vMerge w:val="continue"/>
            <w:tcBorders>
              <w:top w:val="single" w:color="auto" w:sz="4" w:space="0"/>
              <w:left w:val="nil"/>
              <w:bottom w:val="single" w:color="auto" w:sz="4" w:space="0"/>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696" w:type="dxa"/>
            <w:vMerge w:val="continue"/>
            <w:tcBorders>
              <w:left w:val="nil"/>
              <w:right w:val="single" w:color="auto" w:sz="4" w:space="0"/>
            </w:tcBorders>
            <w:vAlign w:val="center"/>
          </w:tcPr>
          <w:p>
            <w:pPr>
              <w:spacing w:line="240" w:lineRule="exact"/>
              <w:jc w:val="left"/>
              <w:rPr>
                <w:rFonts w:hint="default" w:ascii="Times New Roman" w:hAnsi="Times New Roman" w:eastAsia="仿宋_GB2312" w:cs="Times New Roman"/>
                <w:color w:val="auto"/>
                <w:kern w:val="0"/>
                <w:szCs w:val="21"/>
              </w:rPr>
            </w:pPr>
          </w:p>
        </w:tc>
        <w:tc>
          <w:tcPr>
            <w:tcW w:w="1865"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为人民群众收听收看节目的优质效果提供了保障</w:t>
            </w:r>
          </w:p>
        </w:tc>
        <w:tc>
          <w:tcPr>
            <w:tcW w:w="1296"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100%</w:t>
            </w:r>
          </w:p>
        </w:tc>
        <w:tc>
          <w:tcPr>
            <w:tcW w:w="1629"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100%</w:t>
            </w:r>
          </w:p>
        </w:tc>
        <w:tc>
          <w:tcPr>
            <w:tcW w:w="740"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5</w:t>
            </w:r>
          </w:p>
        </w:tc>
        <w:tc>
          <w:tcPr>
            <w:tcW w:w="953" w:type="dxa"/>
            <w:gridSpan w:val="2"/>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5</w:t>
            </w:r>
          </w:p>
        </w:tc>
        <w:tc>
          <w:tcPr>
            <w:tcW w:w="1133"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default" w:ascii="Times New Roman" w:hAnsi="Times New Roman" w:eastAsia="仿宋_GB2312" w:cs="Times New Roman"/>
                <w:color w:val="auto"/>
                <w:kern w:val="0"/>
                <w:sz w:val="20"/>
                <w:szCs w:val="20"/>
                <w:lang w:val="en-US" w:eastAsia="zh-CN"/>
              </w:rPr>
            </w:pPr>
            <w:r>
              <w:rPr>
                <w:rFonts w:hint="default" w:ascii="Times New Roman" w:hAnsi="Times New Roman" w:eastAsia="仿宋_GB2312" w:cs="Times New Roman"/>
                <w:color w:val="auto"/>
                <w:kern w:val="0"/>
                <w:sz w:val="20"/>
                <w:szCs w:val="20"/>
                <w:lang w:val="en-US" w:eastAsia="zh-CN"/>
              </w:rPr>
              <w:t>　</w:t>
            </w:r>
          </w:p>
        </w:tc>
      </w:tr>
      <w:tr>
        <w:tblPrEx>
          <w:tblCellMar>
            <w:top w:w="0" w:type="dxa"/>
            <w:left w:w="108" w:type="dxa"/>
            <w:bottom w:w="0" w:type="dxa"/>
            <w:right w:w="108" w:type="dxa"/>
          </w:tblCellMar>
        </w:tblPrEx>
        <w:trPr>
          <w:trHeight w:val="430" w:hRule="atLeast"/>
          <w:jc w:val="center"/>
        </w:trPr>
        <w:tc>
          <w:tcPr>
            <w:tcW w:w="7167" w:type="dxa"/>
            <w:gridSpan w:val="9"/>
            <w:tcBorders>
              <w:top w:val="single" w:color="auto" w:sz="4" w:space="0"/>
              <w:left w:val="single" w:color="auto" w:sz="4" w:space="0"/>
              <w:bottom w:val="single" w:color="auto" w:sz="4" w:space="0"/>
              <w:right w:val="single" w:color="000000"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总分</w:t>
            </w:r>
          </w:p>
        </w:tc>
        <w:tc>
          <w:tcPr>
            <w:tcW w:w="740" w:type="dxa"/>
            <w:gridSpan w:val="2"/>
            <w:tcBorders>
              <w:top w:val="nil"/>
              <w:left w:val="nil"/>
              <w:bottom w:val="single" w:color="auto" w:sz="4" w:space="0"/>
              <w:right w:val="single" w:color="auto" w:sz="4" w:space="0"/>
            </w:tcBorders>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953" w:type="dxa"/>
            <w:gridSpan w:val="2"/>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100</w:t>
            </w:r>
          </w:p>
        </w:tc>
        <w:tc>
          <w:tcPr>
            <w:tcW w:w="1133" w:type="dxa"/>
            <w:tcBorders>
              <w:top w:val="nil"/>
              <w:left w:val="nil"/>
              <w:bottom w:val="single" w:color="auto" w:sz="4" w:space="0"/>
              <w:right w:val="single" w:color="auto" w:sz="4" w:space="0"/>
            </w:tcBorders>
            <w:vAlign w:val="center"/>
          </w:tcPr>
          <w:p>
            <w:pPr>
              <w:widowControl/>
              <w:spacing w:line="240" w:lineRule="exact"/>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pStyle w:val="9"/>
        <w:jc w:val="both"/>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center"/>
        <w:rPr>
          <w:rFonts w:hint="default" w:ascii="Times New Roman" w:hAnsi="Times New Roman" w:cs="Times New Roman"/>
          <w:color w:val="auto"/>
          <w:sz w:val="72"/>
          <w:szCs w:val="72"/>
        </w:rPr>
      </w:pPr>
    </w:p>
    <w:p>
      <w:pPr>
        <w:pStyle w:val="9"/>
        <w:jc w:val="both"/>
        <w:rPr>
          <w:rFonts w:hint="default" w:ascii="Times New Roman" w:hAnsi="Times New Roman" w:cs="Times New Roman"/>
          <w:color w:val="auto"/>
          <w:sz w:val="72"/>
          <w:szCs w:val="72"/>
        </w:rPr>
      </w:pPr>
    </w:p>
    <w:p>
      <w:pPr>
        <w:widowControl/>
        <w:spacing w:line="600" w:lineRule="exact"/>
        <w:jc w:val="left"/>
        <w:rPr>
          <w:rFonts w:hint="default" w:ascii="Times New Roman" w:hAnsi="Times New Roman" w:eastAsia="黑体" w:cs="Times New Roman"/>
          <w:color w:val="auto"/>
          <w:sz w:val="32"/>
          <w:szCs w:val="32"/>
        </w:rPr>
      </w:pPr>
    </w:p>
    <w:p>
      <w:pPr>
        <w:widowControl/>
        <w:spacing w:line="600" w:lineRule="exact"/>
        <w:jc w:val="left"/>
        <w:rPr>
          <w:rFonts w:hint="default" w:ascii="Times New Roman" w:hAnsi="Times New Roman" w:eastAsia="黑体" w:cs="Times New Roman"/>
          <w:color w:val="auto"/>
          <w:sz w:val="32"/>
          <w:szCs w:val="32"/>
        </w:rPr>
        <w:sectPr>
          <w:pgSz w:w="11906" w:h="16838"/>
          <w:pgMar w:top="1440" w:right="1797" w:bottom="1440" w:left="1797" w:header="851" w:footer="992" w:gutter="0"/>
          <w:cols w:space="0" w:num="1"/>
          <w:rtlGutter w:val="0"/>
          <w:docGrid w:type="linesAndChars" w:linePitch="319" w:charSpace="640"/>
        </w:sectPr>
      </w:pPr>
    </w:p>
    <w:p>
      <w:pPr>
        <w:widowControl/>
        <w:spacing w:line="600" w:lineRule="exact"/>
        <w:jc w:val="left"/>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附件</w:t>
      </w:r>
      <w:r>
        <w:rPr>
          <w:rFonts w:hint="default" w:ascii="Times New Roman" w:hAnsi="Times New Roman" w:eastAsia="黑体" w:cs="Times New Roman"/>
          <w:color w:val="auto"/>
          <w:sz w:val="32"/>
          <w:szCs w:val="32"/>
          <w:lang w:val="en-US" w:eastAsia="zh-CN"/>
        </w:rPr>
        <w:t>3</w:t>
      </w:r>
    </w:p>
    <w:p>
      <w:pPr>
        <w:widowControl/>
        <w:spacing w:line="600" w:lineRule="exact"/>
        <w:jc w:val="center"/>
        <w:rPr>
          <w:rFonts w:hint="default" w:ascii="Times New Roman" w:hAnsi="Times New Roman" w:eastAsia="方正小标宋_GBK" w:cs="Times New Roman"/>
          <w:color w:val="auto"/>
          <w:kern w:val="0"/>
          <w:sz w:val="36"/>
          <w:szCs w:val="36"/>
        </w:rPr>
      </w:pPr>
      <w:r>
        <w:rPr>
          <w:rFonts w:hint="default" w:ascii="Times New Roman" w:hAnsi="Times New Roman" w:eastAsia="方正小标宋_GBK" w:cs="Times New Roman"/>
          <w:color w:val="auto"/>
          <w:kern w:val="0"/>
          <w:sz w:val="36"/>
          <w:szCs w:val="36"/>
        </w:rPr>
        <w:t>2020年度项目支出绩效自评表</w:t>
      </w:r>
    </w:p>
    <w:tbl>
      <w:tblPr>
        <w:tblStyle w:val="5"/>
        <w:tblW w:w="9851" w:type="dxa"/>
        <w:jc w:val="center"/>
        <w:tblLayout w:type="fixed"/>
        <w:tblCellMar>
          <w:top w:w="0" w:type="dxa"/>
          <w:left w:w="108" w:type="dxa"/>
          <w:bottom w:w="0" w:type="dxa"/>
          <w:right w:w="108" w:type="dxa"/>
        </w:tblCellMar>
      </w:tblPr>
      <w:tblGrid>
        <w:gridCol w:w="1080"/>
        <w:gridCol w:w="718"/>
        <w:gridCol w:w="1125"/>
        <w:gridCol w:w="317"/>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项目支</w:t>
            </w:r>
          </w:p>
          <w:p>
            <w:pPr>
              <w:widowControl/>
              <w:spacing w:line="26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出名称</w:t>
            </w:r>
          </w:p>
        </w:tc>
        <w:tc>
          <w:tcPr>
            <w:tcW w:w="8771"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运行维护经费</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主管部门</w:t>
            </w:r>
          </w:p>
        </w:tc>
        <w:tc>
          <w:tcPr>
            <w:tcW w:w="4518" w:type="dxa"/>
            <w:gridSpan w:val="5"/>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湖南省广播电视局</w:t>
            </w:r>
          </w:p>
        </w:tc>
        <w:tc>
          <w:tcPr>
            <w:tcW w:w="1134"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实施单位</w:t>
            </w:r>
          </w:p>
        </w:tc>
        <w:tc>
          <w:tcPr>
            <w:tcW w:w="31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湖南广播电视网络传输中心</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项目资金</w:t>
            </w:r>
            <w:r>
              <w:rPr>
                <w:rFonts w:hint="default" w:ascii="Times New Roman" w:hAnsi="Times New Roman" w:eastAsia="仿宋_GB2312" w:cs="Times New Roman"/>
                <w:color w:val="auto"/>
                <w:kern w:val="0"/>
                <w:szCs w:val="21"/>
              </w:rPr>
              <w:br w:type="textWrapping"/>
            </w:r>
            <w:r>
              <w:rPr>
                <w:rFonts w:hint="default" w:ascii="Times New Roman" w:hAnsi="Times New Roman" w:eastAsia="仿宋_GB2312" w:cs="Times New Roman"/>
                <w:color w:val="auto"/>
                <w:kern w:val="0"/>
                <w:szCs w:val="21"/>
              </w:rPr>
              <w:t>（万元）</w:t>
            </w:r>
          </w:p>
        </w:tc>
        <w:tc>
          <w:tcPr>
            <w:tcW w:w="2160"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22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年初</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全年</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预算数</w:t>
            </w:r>
          </w:p>
        </w:tc>
        <w:tc>
          <w:tcPr>
            <w:tcW w:w="1134"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全年</w:t>
            </w:r>
          </w:p>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执行数</w:t>
            </w:r>
          </w:p>
        </w:tc>
        <w:tc>
          <w:tcPr>
            <w:tcW w:w="82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分值</w:t>
            </w:r>
          </w:p>
        </w:tc>
        <w:tc>
          <w:tcPr>
            <w:tcW w:w="873"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执行率</w:t>
            </w:r>
          </w:p>
        </w:tc>
        <w:tc>
          <w:tcPr>
            <w:tcW w:w="1418" w:type="dxa"/>
            <w:tcBorders>
              <w:top w:val="nil"/>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szCs w:val="21"/>
              </w:rPr>
            </w:pPr>
            <w:r>
              <w:rPr>
                <w:rFonts w:hint="default" w:ascii="Times New Roman" w:hAnsi="Times New Roman" w:eastAsia="仿宋_GB2312" w:cs="Times New Roman"/>
                <w:color w:val="auto"/>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60"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年度资金总额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223.74</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574.96</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315.64</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10</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54.89%</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5.5</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60"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其中：当年财政拨款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56.22</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404.5</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315.64</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60"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上年结转资金　</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2160" w:type="dxa"/>
            <w:gridSpan w:val="3"/>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其他资金</w:t>
            </w:r>
          </w:p>
        </w:tc>
        <w:tc>
          <w:tcPr>
            <w:tcW w:w="122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2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年度总体目标</w:t>
            </w:r>
          </w:p>
        </w:tc>
        <w:tc>
          <w:tcPr>
            <w:tcW w:w="4518"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预期目标</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实际完成情况　</w:t>
            </w:r>
          </w:p>
        </w:tc>
      </w:tr>
      <w:tr>
        <w:tblPrEx>
          <w:tblCellMar>
            <w:top w:w="0" w:type="dxa"/>
            <w:left w:w="108" w:type="dxa"/>
            <w:bottom w:w="0" w:type="dxa"/>
            <w:right w:w="108" w:type="dxa"/>
          </w:tblCellMar>
        </w:tblPrEx>
        <w:trPr>
          <w:trHeight w:val="2472" w:hRule="atLeast"/>
          <w:jc w:val="center"/>
        </w:trPr>
        <w:tc>
          <w:tcPr>
            <w:tcW w:w="1080"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Cs w:val="21"/>
              </w:rPr>
            </w:pPr>
          </w:p>
        </w:tc>
        <w:tc>
          <w:tcPr>
            <w:tcW w:w="4518" w:type="dxa"/>
            <w:gridSpan w:val="5"/>
            <w:tcBorders>
              <w:top w:val="single" w:color="auto" w:sz="4" w:space="0"/>
              <w:left w:val="nil"/>
              <w:bottom w:val="single" w:color="auto" w:sz="4" w:space="0"/>
              <w:right w:val="single" w:color="000000" w:sz="4" w:space="0"/>
            </w:tcBorders>
            <w:shd w:val="clear" w:color="auto" w:fill="auto"/>
            <w:vAlign w:val="center"/>
          </w:tcPr>
          <w:p>
            <w:pPr>
              <w:pStyle w:val="12"/>
              <w:spacing w:before="156" w:beforeLines="50" w:line="240" w:lineRule="auto"/>
              <w:ind w:firstLine="600"/>
              <w:jc w:val="left"/>
              <w:rPr>
                <w:rFonts w:hint="default" w:ascii="Times New Roman" w:hAnsi="Times New Roman" w:eastAsia="仿宋_GB2312" w:cs="Times New Roman"/>
                <w:color w:val="auto"/>
                <w:kern w:val="0"/>
                <w:sz w:val="21"/>
                <w:szCs w:val="21"/>
                <w:lang w:val="en-US" w:eastAsia="zh-CN" w:bidi="ar-SA"/>
              </w:rPr>
            </w:pPr>
            <w:r>
              <w:rPr>
                <w:rFonts w:hint="default" w:ascii="Times New Roman" w:hAnsi="Times New Roman" w:eastAsia="仿宋_GB2312" w:cs="Times New Roman"/>
                <w:color w:val="auto"/>
                <w:kern w:val="0"/>
                <w:sz w:val="21"/>
                <w:szCs w:val="21"/>
                <w:lang w:val="en-US" w:eastAsia="zh-CN" w:bidi="ar-SA"/>
              </w:rPr>
              <w:t>确保国干网、有线数字电视监管平台、电影平台以及局门户网站的正常运行，确保安全播出万无一失；充分发挥有线电视监管平台和农村电影监管平台资源作用，为局相关处室及媒体提供良好的服务；全力以赴做好国家干线网运行维护保障工作，确保广播电视信号播出安全，保证国干网业务平台稳定运行无事故。</w:t>
            </w:r>
          </w:p>
          <w:p>
            <w:pPr>
              <w:widowControl/>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1"/>
                <w:szCs w:val="21"/>
                <w:lang w:val="en-US" w:eastAsia="zh-CN" w:bidi="ar-SA"/>
              </w:rPr>
              <w:t>　　</w:t>
            </w:r>
          </w:p>
        </w:tc>
        <w:tc>
          <w:tcPr>
            <w:tcW w:w="42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 w:val="21"/>
                <w:szCs w:val="21"/>
                <w:lang w:val="en-US" w:eastAsia="zh-CN" w:bidi="ar-SA"/>
              </w:rPr>
              <w:t>克服困难，坚守岗位，保障安全播出无事故；明确职责，确保各平台平稳有序运行；强化国干网传输保障措施，做到了网络传输畅通无事故。</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绩</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标</w:t>
            </w:r>
          </w:p>
        </w:tc>
        <w:tc>
          <w:tcPr>
            <w:tcW w:w="7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一级指标</w:t>
            </w:r>
          </w:p>
        </w:tc>
        <w:tc>
          <w:tcPr>
            <w:tcW w:w="112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二级指标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三级指标</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年度</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指标值</w:t>
            </w:r>
          </w:p>
        </w:tc>
        <w:tc>
          <w:tcPr>
            <w:tcW w:w="113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实际</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完成值</w:t>
            </w:r>
          </w:p>
        </w:tc>
        <w:tc>
          <w:tcPr>
            <w:tcW w:w="82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分值</w:t>
            </w:r>
          </w:p>
        </w:tc>
        <w:tc>
          <w:tcPr>
            <w:tcW w:w="873"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得分</w:t>
            </w:r>
          </w:p>
        </w:tc>
        <w:tc>
          <w:tcPr>
            <w:tcW w:w="1418"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偏差原因</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分析及</w:t>
            </w:r>
          </w:p>
          <w:p>
            <w:pPr>
              <w:widowControl/>
              <w:spacing w:line="240" w:lineRule="exact"/>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改进措施</w:t>
            </w:r>
          </w:p>
        </w:tc>
      </w:tr>
      <w:tr>
        <w:tblPrEx>
          <w:tblCellMar>
            <w:top w:w="0" w:type="dxa"/>
            <w:left w:w="108" w:type="dxa"/>
            <w:bottom w:w="0" w:type="dxa"/>
            <w:right w:w="108" w:type="dxa"/>
          </w:tblCellMar>
        </w:tblPrEx>
        <w:trPr>
          <w:trHeight w:val="2472" w:hRule="atLeast"/>
          <w:jc w:val="center"/>
        </w:trPr>
        <w:tc>
          <w:tcPr>
            <w:tcW w:w="1080"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restart"/>
            <w:tcBorders>
              <w:top w:val="nil"/>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产出指标</w:t>
            </w:r>
          </w:p>
          <w:p>
            <w:pPr>
              <w:widowControl/>
              <w:jc w:val="center"/>
              <w:rPr>
                <w:rFonts w:hint="default" w:ascii="Times New Roman" w:hAnsi="Times New Roman" w:eastAsia="仿宋_GB2312" w:cs="Times New Roman"/>
                <w:color w:val="auto"/>
                <w:kern w:val="0"/>
                <w:szCs w:val="21"/>
              </w:rPr>
            </w:pP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(50分)</w:t>
            </w:r>
          </w:p>
        </w:tc>
        <w:tc>
          <w:tcPr>
            <w:tcW w:w="1125" w:type="dxa"/>
            <w:vMerge w:val="restart"/>
            <w:tcBorders>
              <w:top w:val="nil"/>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数量指标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监管平台对</w:t>
            </w:r>
            <w:r>
              <w:rPr>
                <w:rFonts w:hint="default" w:ascii="Times New Roman" w:hAnsi="Times New Roman" w:eastAsia="仿宋_GB2312" w:cs="Times New Roman"/>
                <w:color w:val="auto"/>
                <w:kern w:val="0"/>
                <w:szCs w:val="21"/>
              </w:rPr>
              <w:t>全省有线数字电视节目的监管</w:t>
            </w:r>
            <w:r>
              <w:rPr>
                <w:rFonts w:hint="default" w:ascii="Times New Roman" w:hAnsi="Times New Roman" w:eastAsia="仿宋_GB2312" w:cs="Times New Roman"/>
                <w:color w:val="auto"/>
                <w:kern w:val="0"/>
                <w:szCs w:val="21"/>
                <w:lang w:val="en-US" w:eastAsia="zh-CN"/>
              </w:rPr>
              <w:t>情况</w:t>
            </w:r>
            <w:r>
              <w:rPr>
                <w:rFonts w:hint="default" w:ascii="Times New Roman" w:hAnsi="Times New Roman" w:eastAsia="仿宋_GB2312" w:cs="Times New Roman"/>
                <w:color w:val="auto"/>
                <w:kern w:val="0"/>
                <w:szCs w:val="21"/>
              </w:rPr>
              <w:t>。</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对节目的采集、录制范围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r>
              <w:rPr>
                <w:rFonts w:hint="default" w:ascii="Times New Roman" w:hAnsi="Times New Roman" w:eastAsia="仿宋_GB2312" w:cs="Times New Roman"/>
                <w:color w:val="auto"/>
                <w:kern w:val="0"/>
                <w:szCs w:val="21"/>
              </w:rPr>
              <w:t>对全省14个市（州）节目进行完整采集、录制</w:t>
            </w:r>
            <w:r>
              <w:rPr>
                <w:rFonts w:hint="default" w:ascii="Times New Roman" w:hAnsi="Times New Roman" w:eastAsia="仿宋_GB2312" w:cs="Times New Roman"/>
                <w:color w:val="auto"/>
                <w:kern w:val="0"/>
                <w:szCs w:val="21"/>
                <w:lang w:eastAsia="zh-CN"/>
              </w:rPr>
              <w:t>，</w:t>
            </w:r>
            <w:r>
              <w:rPr>
                <w:rFonts w:hint="default" w:ascii="Times New Roman" w:hAnsi="Times New Roman" w:eastAsia="仿宋_GB2312" w:cs="Times New Roman"/>
                <w:color w:val="auto"/>
                <w:kern w:val="0"/>
                <w:szCs w:val="21"/>
                <w:lang w:val="en-US" w:eastAsia="zh-CN"/>
              </w:rPr>
              <w:t>保障完整监管</w:t>
            </w:r>
          </w:p>
        </w:tc>
        <w:tc>
          <w:tcPr>
            <w:tcW w:w="828" w:type="dxa"/>
            <w:vMerge w:val="restart"/>
            <w:tcBorders>
              <w:top w:val="nil"/>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20</w:t>
            </w:r>
          </w:p>
        </w:tc>
        <w:tc>
          <w:tcPr>
            <w:tcW w:w="873" w:type="dxa"/>
            <w:vMerge w:val="restart"/>
            <w:tcBorders>
              <w:top w:val="nil"/>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20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left w:val="nil"/>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left w:val="nil"/>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监管平台</w:t>
            </w:r>
            <w:r>
              <w:rPr>
                <w:rFonts w:hint="default" w:ascii="Times New Roman" w:hAnsi="Times New Roman" w:eastAsia="仿宋_GB2312" w:cs="Times New Roman"/>
                <w:color w:val="auto"/>
                <w:kern w:val="0"/>
                <w:szCs w:val="21"/>
              </w:rPr>
              <w:t>录制时间</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30天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30天</w:t>
            </w:r>
          </w:p>
        </w:tc>
        <w:tc>
          <w:tcPr>
            <w:tcW w:w="828"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873" w:type="dxa"/>
            <w:vMerge w:val="continue"/>
            <w:tcBorders>
              <w:left w:val="nil"/>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654" w:hRule="atLeast"/>
          <w:jc w:val="center"/>
        </w:trPr>
        <w:tc>
          <w:tcPr>
            <w:tcW w:w="1080"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left w:val="nil"/>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54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完成市州设备更新</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15个市级</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828"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873" w:type="dxa"/>
            <w:vMerge w:val="continue"/>
            <w:tcBorders>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1661" w:hRule="atLeast"/>
          <w:jc w:val="center"/>
        </w:trPr>
        <w:tc>
          <w:tcPr>
            <w:tcW w:w="1080" w:type="dxa"/>
            <w:vMerge w:val="continue"/>
            <w:tcBorders>
              <w:left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restart"/>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质量指标</w:t>
            </w:r>
          </w:p>
        </w:tc>
        <w:tc>
          <w:tcPr>
            <w:tcW w:w="154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平台稳定运行，节目内容采集、录制完整。</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80%</w:t>
            </w:r>
          </w:p>
        </w:tc>
        <w:tc>
          <w:tcPr>
            <w:tcW w:w="82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4</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县级平台运行时间已超过7年，设备处于故障高发期，平台急需提质改造</w:t>
            </w:r>
          </w:p>
        </w:tc>
      </w:tr>
      <w:tr>
        <w:tblPrEx>
          <w:tblCellMar>
            <w:top w:w="0" w:type="dxa"/>
            <w:left w:w="108" w:type="dxa"/>
            <w:bottom w:w="0" w:type="dxa"/>
            <w:right w:w="108" w:type="dxa"/>
          </w:tblCellMar>
        </w:tblPrEx>
        <w:trPr>
          <w:trHeight w:val="1314" w:hRule="atLeast"/>
          <w:jc w:val="center"/>
        </w:trPr>
        <w:tc>
          <w:tcPr>
            <w:tcW w:w="1080" w:type="dxa"/>
            <w:vMerge w:val="continue"/>
            <w:tcBorders>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p>
        </w:tc>
        <w:tc>
          <w:tcPr>
            <w:tcW w:w="15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对前端异态指标进行记录，并保留1年</w:t>
            </w:r>
            <w:r>
              <w:rPr>
                <w:rFonts w:hint="default" w:ascii="Times New Roman" w:hAnsi="Times New Roman" w:eastAsia="宋体" w:cs="Times New Roman"/>
                <w:i w:val="0"/>
                <w:color w:val="auto"/>
                <w:kern w:val="0"/>
                <w:sz w:val="16"/>
                <w:szCs w:val="16"/>
                <w:u w:val="none"/>
                <w:lang w:val="en-US" w:eastAsia="zh-CN" w:bidi="ar"/>
              </w:rPr>
              <w:t>以上</w:t>
            </w:r>
            <w:r>
              <w:rPr>
                <w:rFonts w:hint="default" w:ascii="Times New Roman" w:hAnsi="Times New Roman" w:eastAsia="仿宋_GB2312" w:cs="Times New Roman"/>
                <w:color w:val="auto"/>
                <w:kern w:val="0"/>
                <w:szCs w:val="21"/>
                <w:lang w:val="en-US" w:eastAsia="zh-CN"/>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5</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时效指标</w:t>
            </w:r>
          </w:p>
        </w:tc>
        <w:tc>
          <w:tcPr>
            <w:tcW w:w="154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保证信号24小时实时监控，保证信号的采集实时性。</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82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87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仿宋_GB2312" w:cs="Times New Roman"/>
                <w:color w:val="auto"/>
                <w:kern w:val="0"/>
                <w:szCs w:val="21"/>
              </w:rPr>
            </w:pPr>
          </w:p>
        </w:tc>
        <w:tc>
          <w:tcPr>
            <w:tcW w:w="154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增加全年播出信号监测能力</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180天</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监管平台提质改造后，能达到标准</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成本指标</w:t>
            </w:r>
          </w:p>
        </w:tc>
        <w:tc>
          <w:tcPr>
            <w:tcW w:w="154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项目成本控制率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监管平台提质改造项目预算480万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实行公开招标采购，实际成本387万</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常年项目成本控制率</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不超预算</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控制在年初预算范围内</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eastAsia="zh-CN"/>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效益指标</w:t>
            </w:r>
          </w:p>
          <w:p>
            <w:pPr>
              <w:widowControl/>
              <w:jc w:val="left"/>
              <w:rPr>
                <w:rFonts w:hint="default" w:ascii="Times New Roman" w:hAnsi="Times New Roman" w:eastAsia="仿宋_GB2312" w:cs="Times New Roman"/>
                <w:color w:val="auto"/>
                <w:kern w:val="0"/>
                <w:szCs w:val="21"/>
              </w:rPr>
            </w:pPr>
          </w:p>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（30分）</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经济效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监管非法插播广告，保障正常节目的收视效果</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社会效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 xml:space="preserve">实现对市州自办的节目内容进行监听监看，把握政策导向。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生态效</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益指标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both"/>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符合《电磁环境辐射保护管理办法》要求。</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c>
          <w:tcPr>
            <w:tcW w:w="7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10分</w:t>
            </w:r>
          </w:p>
        </w:tc>
        <w:tc>
          <w:tcPr>
            <w:tcW w:w="1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可持续影响指标</w:t>
            </w:r>
          </w:p>
        </w:tc>
        <w:tc>
          <w:tcPr>
            <w:tcW w:w="154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为相关部门行使行业管理职能提供全面、有效的服务保障。</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8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w:t>
            </w:r>
          </w:p>
        </w:tc>
        <w:tc>
          <w:tcPr>
            <w:tcW w:w="8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满意度</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指标</w:t>
            </w:r>
          </w:p>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（10分）</w:t>
            </w:r>
          </w:p>
        </w:tc>
        <w:tc>
          <w:tcPr>
            <w:tcW w:w="1125" w:type="dxa"/>
            <w:vMerge w:val="restart"/>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服务对象满意度指标</w:t>
            </w: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监管部门使用满意度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jc w:val="center"/>
        </w:trPr>
        <w:tc>
          <w:tcPr>
            <w:tcW w:w="10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718"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125" w:type="dxa"/>
            <w:vMerge w:val="continue"/>
            <w:tcBorders>
              <w:top w:val="single" w:color="auto" w:sz="4" w:space="0"/>
              <w:left w:val="nil"/>
              <w:bottom w:val="single" w:color="auto" w:sz="4" w:space="0"/>
              <w:right w:val="single" w:color="auto" w:sz="4" w:space="0"/>
            </w:tcBorders>
            <w:shd w:val="clear" w:color="auto" w:fill="auto"/>
            <w:vAlign w:val="center"/>
          </w:tcPr>
          <w:p>
            <w:pPr>
              <w:jc w:val="left"/>
              <w:rPr>
                <w:rFonts w:hint="default" w:ascii="Times New Roman" w:hAnsi="Times New Roman" w:eastAsia="仿宋_GB2312" w:cs="Times New Roman"/>
                <w:color w:val="auto"/>
                <w:kern w:val="0"/>
                <w:szCs w:val="21"/>
              </w:rPr>
            </w:pPr>
          </w:p>
        </w:tc>
        <w:tc>
          <w:tcPr>
            <w:tcW w:w="1541" w:type="dxa"/>
            <w:gridSpan w:val="2"/>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lang w:val="en-US" w:eastAsia="zh-CN"/>
              </w:rPr>
              <w:t>职能处室行业管理满意度</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100%</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p>
        </w:tc>
        <w:tc>
          <w:tcPr>
            <w:tcW w:w="87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lang w:val="en-US" w:eastAsia="zh-CN"/>
              </w:rPr>
            </w:pPr>
            <w:r>
              <w:rPr>
                <w:rFonts w:hint="default" w:ascii="Times New Roman" w:hAnsi="Times New Roman" w:eastAsia="仿宋_GB2312" w:cs="Times New Roman"/>
                <w:color w:val="auto"/>
                <w:kern w:val="0"/>
                <w:szCs w:val="21"/>
                <w:lang w:val="en-US" w:eastAsia="zh-CN"/>
              </w:rPr>
              <w:t>5</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p>
        </w:tc>
      </w:tr>
      <w:tr>
        <w:tblPrEx>
          <w:tblCellMar>
            <w:top w:w="0" w:type="dxa"/>
            <w:left w:w="108" w:type="dxa"/>
            <w:bottom w:w="0" w:type="dxa"/>
            <w:right w:w="108" w:type="dxa"/>
          </w:tblCellMar>
        </w:tblPrEx>
        <w:trPr>
          <w:trHeight w:val="427" w:hRule="atLeast"/>
          <w:jc w:val="center"/>
        </w:trPr>
        <w:tc>
          <w:tcPr>
            <w:tcW w:w="6732" w:type="dxa"/>
            <w:gridSpan w:val="7"/>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总分</w:t>
            </w:r>
          </w:p>
        </w:tc>
        <w:tc>
          <w:tcPr>
            <w:tcW w:w="828"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100</w:t>
            </w:r>
          </w:p>
        </w:tc>
        <w:tc>
          <w:tcPr>
            <w:tcW w:w="873"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r>
              <w:rPr>
                <w:rFonts w:hint="default" w:ascii="Times New Roman" w:hAnsi="Times New Roman" w:eastAsia="仿宋_GB2312" w:cs="Times New Roman"/>
                <w:color w:val="auto"/>
                <w:kern w:val="0"/>
                <w:szCs w:val="21"/>
                <w:lang w:val="en-US" w:eastAsia="zh-CN"/>
              </w:rPr>
              <w:t>99</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Cs w:val="21"/>
              </w:rPr>
            </w:pPr>
            <w:r>
              <w:rPr>
                <w:rFonts w:hint="default" w:ascii="Times New Roman" w:hAnsi="Times New Roman" w:eastAsia="仿宋_GB2312" w:cs="Times New Roman"/>
                <w:color w:val="auto"/>
                <w:kern w:val="0"/>
                <w:szCs w:val="21"/>
              </w:rPr>
              <w:t>　</w:t>
            </w:r>
          </w:p>
        </w:tc>
      </w:tr>
    </w:tbl>
    <w:p>
      <w:pPr>
        <w:jc w:val="both"/>
        <w:rPr>
          <w:rFonts w:hint="default" w:ascii="Times New Roman" w:hAnsi="Times New Roman" w:cs="Times New Roman"/>
          <w:color w:val="auto"/>
        </w:rPr>
      </w:pPr>
    </w:p>
    <w:p>
      <w:pPr>
        <w:ind w:firstLine="640" w:firstLineChars="200"/>
        <w:jc w:val="left"/>
        <w:rPr>
          <w:rFonts w:hint="default" w:ascii="Times New Roman" w:hAnsi="Times New Roman" w:cs="Times New Roman"/>
          <w:color w:val="auto"/>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D47B99"/>
    <w:multiLevelType w:val="singleLevel"/>
    <w:tmpl w:val="5ED47B99"/>
    <w:lvl w:ilvl="0" w:tentative="0">
      <w:start w:val="1"/>
      <w:numFmt w:val="chineseCounting"/>
      <w:suff w:val="nothing"/>
      <w:lvlText w:val="（%1）"/>
      <w:lvlJc w:val="left"/>
    </w:lvl>
  </w:abstractNum>
  <w:abstractNum w:abstractNumId="2">
    <w:nsid w:val="607E79F6"/>
    <w:multiLevelType w:val="singleLevel"/>
    <w:tmpl w:val="607E79F6"/>
    <w:lvl w:ilvl="0" w:tentative="0">
      <w:start w:val="1"/>
      <w:numFmt w:val="chineseCounting"/>
      <w:suff w:val="nothing"/>
      <w:lvlText w:val="%1、"/>
      <w:lvlJc w:val="left"/>
    </w:lvl>
  </w:abstractNum>
  <w:abstractNum w:abstractNumId="3">
    <w:nsid w:val="611DD2C0"/>
    <w:multiLevelType w:val="singleLevel"/>
    <w:tmpl w:val="611DD2C0"/>
    <w:lvl w:ilvl="0" w:tentative="0">
      <w:start w:val="2"/>
      <w:numFmt w:val="decimal"/>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wMjNkOGZjODdlZDEwODZmYWEzYjE1YzMyZDBjODUifQ=="/>
  </w:docVars>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1B30C7C"/>
    <w:rsid w:val="04A45D2C"/>
    <w:rsid w:val="06C80BF1"/>
    <w:rsid w:val="08781C87"/>
    <w:rsid w:val="0AFD47F6"/>
    <w:rsid w:val="0C3A40E9"/>
    <w:rsid w:val="0E74169F"/>
    <w:rsid w:val="16B13F19"/>
    <w:rsid w:val="1B5F44D9"/>
    <w:rsid w:val="21E22E40"/>
    <w:rsid w:val="24E22092"/>
    <w:rsid w:val="2AAE151F"/>
    <w:rsid w:val="2F5F1E14"/>
    <w:rsid w:val="38544D0A"/>
    <w:rsid w:val="3A8D62D5"/>
    <w:rsid w:val="421F286A"/>
    <w:rsid w:val="4A1244E0"/>
    <w:rsid w:val="4D0367F1"/>
    <w:rsid w:val="52BC5419"/>
    <w:rsid w:val="56A4567B"/>
    <w:rsid w:val="59F1378B"/>
    <w:rsid w:val="5EC652D7"/>
    <w:rsid w:val="5F980EEF"/>
    <w:rsid w:val="68235C55"/>
    <w:rsid w:val="6895645C"/>
    <w:rsid w:val="71FF6DB5"/>
    <w:rsid w:val="726456E3"/>
    <w:rsid w:val="73AB02D2"/>
    <w:rsid w:val="786F2F7B"/>
    <w:rsid w:val="7E075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 w:type="paragraph" w:customStyle="1" w:styleId="12">
    <w:name w:val="列表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0</TotalTime>
  <ScaleCrop>false</ScaleCrop>
  <LinksUpToDate>false</LinksUpToDate>
  <CharactersWithSpaces>8698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小明</cp:lastModifiedBy>
  <cp:lastPrinted>2021-08-05T08:54:00Z</cp:lastPrinted>
  <dcterms:modified xsi:type="dcterms:W3CDTF">2023-12-27T06:59:47Z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7139E184597643399B45549B5CEAC350_12</vt:lpwstr>
  </property>
</Properties>
</file>