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default" w:ascii="Times New Roman" w:hAnsi="Times New Roman" w:cs="Times New Roman"/>
          <w:color w:val="auto"/>
          <w:sz w:val="56"/>
          <w:szCs w:val="56"/>
        </w:rPr>
      </w:pPr>
    </w:p>
    <w:p>
      <w:pPr>
        <w:pStyle w:val="13"/>
        <w:jc w:val="center"/>
        <w:rPr>
          <w:rFonts w:hint="default" w:ascii="Times New Roman" w:hAnsi="Times New Roman" w:cs="Times New Roman"/>
          <w:color w:val="auto"/>
          <w:sz w:val="56"/>
          <w:szCs w:val="56"/>
        </w:rPr>
      </w:pPr>
    </w:p>
    <w:p>
      <w:pPr>
        <w:pStyle w:val="13"/>
        <w:jc w:val="center"/>
        <w:rPr>
          <w:rFonts w:hint="default" w:ascii="Times New Roman" w:hAnsi="Times New Roman" w:cs="Times New Roman"/>
          <w:color w:val="auto"/>
          <w:sz w:val="84"/>
          <w:szCs w:val="84"/>
        </w:rPr>
      </w:pPr>
    </w:p>
    <w:p>
      <w:pPr>
        <w:pStyle w:val="13"/>
        <w:jc w:val="center"/>
        <w:rPr>
          <w:rFonts w:hint="default" w:ascii="Times New Roman" w:hAnsi="Times New Roman" w:cs="Times New Roman"/>
          <w:color w:val="auto"/>
          <w:sz w:val="84"/>
          <w:szCs w:val="84"/>
        </w:rPr>
      </w:pPr>
    </w:p>
    <w:p>
      <w:pPr>
        <w:pStyle w:val="13"/>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2020年度</w:t>
      </w:r>
    </w:p>
    <w:p>
      <w:pPr>
        <w:pStyle w:val="13"/>
        <w:jc w:val="center"/>
        <w:rPr>
          <w:rFonts w:hint="default" w:ascii="Times New Roman" w:hAnsi="Times New Roman" w:cs="Times New Roman"/>
          <w:color w:val="auto"/>
          <w:sz w:val="56"/>
          <w:szCs w:val="56"/>
        </w:rPr>
      </w:pPr>
      <w:r>
        <w:rPr>
          <w:rFonts w:hint="default" w:ascii="Times New Roman" w:hAnsi="Times New Roman" w:cs="Times New Roman"/>
          <w:color w:val="auto"/>
          <w:sz w:val="84"/>
          <w:szCs w:val="84"/>
        </w:rPr>
        <w:t>湖南省新闻出版广电局   株洲实验台决算公开</w:t>
      </w:r>
    </w:p>
    <w:p>
      <w:pPr>
        <w:pStyle w:val="13"/>
        <w:jc w:val="center"/>
        <w:rPr>
          <w:rFonts w:hint="default" w:ascii="Times New Roman" w:hAnsi="Times New Roman" w:cs="Times New Roman"/>
          <w:color w:val="auto"/>
          <w:sz w:val="56"/>
          <w:szCs w:val="56"/>
        </w:rPr>
      </w:pPr>
    </w:p>
    <w:p>
      <w:pPr>
        <w:pStyle w:val="13"/>
        <w:jc w:val="center"/>
        <w:rPr>
          <w:rFonts w:hint="default" w:ascii="Times New Roman" w:hAnsi="Times New Roman" w:cs="Times New Roman"/>
          <w:color w:val="auto"/>
          <w:sz w:val="56"/>
          <w:szCs w:val="56"/>
        </w:rPr>
      </w:pPr>
    </w:p>
    <w:p>
      <w:pPr>
        <w:pStyle w:val="13"/>
        <w:jc w:val="center"/>
        <w:rPr>
          <w:rFonts w:hint="default" w:ascii="Times New Roman" w:hAnsi="Times New Roman" w:cs="Times New Roman"/>
          <w:color w:val="auto"/>
          <w:sz w:val="32"/>
          <w:szCs w:val="32"/>
        </w:rPr>
      </w:pPr>
    </w:p>
    <w:p>
      <w:pPr>
        <w:pStyle w:val="13"/>
        <w:jc w:val="center"/>
        <w:rPr>
          <w:rFonts w:hint="default" w:ascii="Times New Roman" w:hAnsi="Times New Roman" w:cs="Times New Roman"/>
          <w:color w:val="auto"/>
          <w:sz w:val="32"/>
          <w:szCs w:val="32"/>
        </w:rPr>
      </w:pPr>
    </w:p>
    <w:p>
      <w:pPr>
        <w:pStyle w:val="13"/>
        <w:jc w:val="center"/>
        <w:rPr>
          <w:rFonts w:hint="default" w:ascii="Times New Roman" w:hAnsi="Times New Roman" w:cs="Times New Roman"/>
          <w:color w:val="auto"/>
          <w:sz w:val="32"/>
          <w:szCs w:val="32"/>
        </w:rPr>
      </w:pPr>
    </w:p>
    <w:p>
      <w:pPr>
        <w:pStyle w:val="13"/>
        <w:jc w:val="center"/>
        <w:rPr>
          <w:rFonts w:hint="default" w:ascii="Times New Roman" w:hAnsi="Times New Roman" w:cs="Times New Roman"/>
          <w:color w:val="auto"/>
          <w:sz w:val="32"/>
          <w:szCs w:val="32"/>
        </w:rPr>
      </w:pPr>
    </w:p>
    <w:p>
      <w:pPr>
        <w:pStyle w:val="13"/>
        <w:jc w:val="center"/>
        <w:rPr>
          <w:rFonts w:hint="default" w:ascii="Times New Roman" w:hAnsi="Times New Roman" w:cs="Times New Roman"/>
          <w:color w:val="auto"/>
          <w:sz w:val="32"/>
          <w:szCs w:val="32"/>
        </w:rPr>
      </w:pPr>
    </w:p>
    <w:p>
      <w:pPr>
        <w:pStyle w:val="13"/>
        <w:spacing w:line="540" w:lineRule="exact"/>
        <w:jc w:val="center"/>
        <w:rPr>
          <w:rFonts w:hint="default" w:ascii="Times New Roman" w:hAnsi="Times New Roman" w:cs="Times New Roman"/>
          <w:color w:val="auto"/>
          <w:sz w:val="56"/>
          <w:szCs w:val="56"/>
        </w:rPr>
      </w:pPr>
    </w:p>
    <w:p>
      <w:pPr>
        <w:pStyle w:val="13"/>
        <w:spacing w:line="540" w:lineRule="exact"/>
        <w:jc w:val="center"/>
        <w:rPr>
          <w:rFonts w:hint="default" w:ascii="Times New Roman" w:hAnsi="Times New Roman" w:cs="Times New Roman"/>
          <w:color w:val="auto"/>
          <w:sz w:val="56"/>
          <w:szCs w:val="56"/>
        </w:rPr>
      </w:pPr>
    </w:p>
    <w:p>
      <w:pPr>
        <w:pStyle w:val="13"/>
        <w:spacing w:line="500" w:lineRule="exact"/>
        <w:jc w:val="center"/>
        <w:rPr>
          <w:rFonts w:hint="default" w:ascii="Times New Roman" w:hAnsi="Times New Roman" w:cs="Times New Roman"/>
          <w:b/>
          <w:color w:val="auto"/>
          <w:sz w:val="36"/>
          <w:szCs w:val="28"/>
        </w:rPr>
      </w:pPr>
    </w:p>
    <w:p>
      <w:pPr>
        <w:pStyle w:val="13"/>
        <w:spacing w:line="500" w:lineRule="exact"/>
        <w:jc w:val="center"/>
        <w:rPr>
          <w:rFonts w:hint="default" w:ascii="Times New Roman" w:hAnsi="Times New Roman" w:cs="Times New Roman"/>
          <w:b/>
          <w:color w:val="auto"/>
          <w:sz w:val="36"/>
          <w:szCs w:val="28"/>
        </w:rPr>
      </w:pPr>
    </w:p>
    <w:p>
      <w:pPr>
        <w:pStyle w:val="13"/>
        <w:spacing w:line="500" w:lineRule="exact"/>
        <w:jc w:val="center"/>
        <w:rPr>
          <w:rFonts w:hint="default" w:ascii="Times New Roman" w:hAnsi="Times New Roman" w:cs="Times New Roman"/>
          <w:b/>
          <w:color w:val="auto"/>
          <w:sz w:val="36"/>
          <w:szCs w:val="28"/>
        </w:rPr>
      </w:pPr>
      <w:r>
        <w:rPr>
          <w:rFonts w:hint="default" w:ascii="Times New Roman" w:hAnsi="Times New Roman" w:cs="Times New Roman"/>
          <w:b/>
          <w:color w:val="auto"/>
          <w:sz w:val="36"/>
          <w:szCs w:val="28"/>
        </w:rPr>
        <w:t>目录</w:t>
      </w:r>
    </w:p>
    <w:p>
      <w:pPr>
        <w:pStyle w:val="13"/>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第一部分湖南省新闻出版广电局株洲实验台单位概况</w:t>
      </w:r>
    </w:p>
    <w:p>
      <w:pPr>
        <w:pStyle w:val="13"/>
        <w:numPr>
          <w:ilvl w:val="0"/>
          <w:numId w:val="1"/>
        </w:numPr>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部门职责</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二、机构设置</w:t>
      </w:r>
    </w:p>
    <w:p>
      <w:pPr>
        <w:pStyle w:val="13"/>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第二部分2020年度部门决算表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二、收入决算表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三、支出决算表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四、财政拨款收入支出决算总表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五、一般公共预算财政拨款支出决算表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六、一般公共预算财政拨款基本支出决算表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七、一般公共预算财政拨款“三公”经费支出决算表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八、政府性基金预算财政拨款收入支出决算表</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九、国有资本经营预算财政拨款支出决算表</w:t>
      </w:r>
    </w:p>
    <w:p>
      <w:pPr>
        <w:pStyle w:val="13"/>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第三部分2020年度部门决算情况说明</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一、收入支出决算总体情况说明</w:t>
      </w:r>
    </w:p>
    <w:p>
      <w:pPr>
        <w:spacing w:line="500" w:lineRule="exact"/>
        <w:ind w:firstLine="700" w:firstLineChars="250"/>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二、收入决算情况说明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八、政府性基金预算收入支出决算情况</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九、关于机关运行经费支出说明</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十、一般性支出情况</w:t>
      </w:r>
    </w:p>
    <w:p>
      <w:pPr>
        <w:autoSpaceDE w:val="0"/>
        <w:autoSpaceDN w:val="0"/>
        <w:adjustRightInd w:val="0"/>
        <w:spacing w:line="500" w:lineRule="exact"/>
        <w:ind w:firstLine="700"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十一、关于政府采购支出说明</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十二、关于国有资产占用情况说明</w:t>
      </w:r>
    </w:p>
    <w:p>
      <w:pPr>
        <w:pStyle w:val="13"/>
        <w:spacing w:line="500" w:lineRule="exact"/>
        <w:ind w:firstLine="700"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十三、关于2020年度预算绩效情况的说明</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第四部分名词解释</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第五部分附件</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 xml:space="preserve">第一部分 </w:t>
      </w:r>
    </w:p>
    <w:p>
      <w:pPr>
        <w:pStyle w:val="13"/>
        <w:jc w:val="center"/>
        <w:rPr>
          <w:rFonts w:hint="default" w:ascii="Times New Roman" w:hAnsi="Times New Roman" w:cs="Times New Roman"/>
          <w:color w:val="auto"/>
          <w:sz w:val="84"/>
          <w:szCs w:val="84"/>
        </w:rPr>
      </w:pPr>
    </w:p>
    <w:p>
      <w:pPr>
        <w:pStyle w:val="13"/>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湖南省新闻出版广电局   株洲实验台概况</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pStyle w:val="14"/>
        <w:ind w:left="720" w:firstLine="0" w:firstLineChars="0"/>
        <w:jc w:val="left"/>
        <w:rPr>
          <w:rFonts w:hint="default" w:ascii="Times New Roman" w:hAnsi="Times New Roman" w:eastAsia="黑体" w:cs="Times New Roman"/>
          <w:color w:val="auto"/>
          <w:sz w:val="32"/>
          <w:szCs w:val="32"/>
        </w:rPr>
      </w:pPr>
    </w:p>
    <w:p>
      <w:pPr>
        <w:pStyle w:val="14"/>
        <w:ind w:left="720" w:firstLine="0" w:firstLineChars="0"/>
        <w:jc w:val="left"/>
        <w:rPr>
          <w:rFonts w:hint="default" w:ascii="Times New Roman" w:hAnsi="Times New Roman" w:eastAsia="黑体" w:cs="Times New Roman"/>
          <w:color w:val="auto"/>
          <w:sz w:val="32"/>
          <w:szCs w:val="32"/>
        </w:rPr>
      </w:pPr>
    </w:p>
    <w:p>
      <w:pPr>
        <w:pStyle w:val="14"/>
        <w:ind w:left="720" w:firstLine="0" w:firstLineChars="0"/>
        <w:jc w:val="left"/>
        <w:rPr>
          <w:rFonts w:hint="default" w:ascii="Times New Roman" w:hAnsi="Times New Roman" w:eastAsia="黑体" w:cs="Times New Roman"/>
          <w:color w:val="auto"/>
          <w:sz w:val="32"/>
          <w:szCs w:val="32"/>
        </w:rPr>
      </w:pPr>
    </w:p>
    <w:p>
      <w:pPr>
        <w:pStyle w:val="14"/>
        <w:numPr>
          <w:ilvl w:val="0"/>
          <w:numId w:val="2"/>
        </w:numPr>
        <w:ind w:firstLineChars="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部门职责</w:t>
      </w:r>
    </w:p>
    <w:p>
      <w:pPr>
        <w:numPr>
          <w:ilvl w:val="0"/>
          <w:numId w:val="3"/>
        </w:numPr>
        <w:ind w:firstLine="7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转播广播电视节目，促进社会经济文化发展。</w:t>
      </w:r>
    </w:p>
    <w:p>
      <w:pPr>
        <w:numPr>
          <w:ilvl w:val="0"/>
          <w:numId w:val="3"/>
        </w:numPr>
        <w:ind w:firstLine="7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转播广播电台节目及广播电视信号监测、监听并干扰境外敌台广播。</w:t>
      </w:r>
    </w:p>
    <w:p>
      <w:pPr>
        <w:widowControl/>
        <w:spacing w:line="600" w:lineRule="exac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二、机构设置及决算单位构成</w:t>
      </w:r>
    </w:p>
    <w:p>
      <w:pPr>
        <w:widowControl/>
        <w:spacing w:line="600" w:lineRule="exact"/>
        <w:ind w:firstLine="320" w:firstLineChars="1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（一）内设机构设置。湖南省新闻出版广电局株洲实验台内设机构包括：办公室、技术科、财务室。</w:t>
      </w:r>
    </w:p>
    <w:p>
      <w:pPr>
        <w:widowControl/>
        <w:spacing w:line="600" w:lineRule="exact"/>
        <w:ind w:firstLine="320" w:firstLineChars="100"/>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（二）决算单位构成。湖南省新闻出版广电局株洲实验台2020年部门决算汇总公开单位构成包括：湖南省新闻出版广电局株洲实验台本级。</w:t>
      </w:r>
    </w:p>
    <w:p>
      <w:pPr>
        <w:jc w:val="left"/>
        <w:rPr>
          <w:rFonts w:hint="default" w:ascii="Times New Roman" w:hAnsi="Times New Roman" w:eastAsia="仿宋_GB2312" w:cs="Times New Roman"/>
          <w:color w:val="auto"/>
          <w:sz w:val="32"/>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第二部分</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部门决算表</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left"/>
        <w:rPr>
          <w:rFonts w:hint="default" w:ascii="Times New Roman" w:hAnsi="Times New Roman" w:cs="Times New Roman"/>
          <w:color w:val="auto"/>
          <w:sz w:val="32"/>
          <w:szCs w:val="32"/>
        </w:rPr>
      </w:pPr>
    </w:p>
    <w:p>
      <w:pPr>
        <w:jc w:val="left"/>
        <w:rPr>
          <w:rFonts w:hint="default"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10"/>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Layout w:type="fixed"/>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收入支出决算总表</w:t>
            </w:r>
          </w:p>
        </w:tc>
      </w:tr>
      <w:tr>
        <w:tblPrEx>
          <w:tblLayout w:type="fixed"/>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公开01表</w:t>
            </w:r>
          </w:p>
        </w:tc>
      </w:tr>
      <w:tr>
        <w:tblPrEx>
          <w:tblLayout w:type="fixed"/>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 湖南省新闻出版广电局株洲实验台</w:t>
            </w:r>
          </w:p>
        </w:tc>
        <w:tc>
          <w:tcPr>
            <w:tcW w:w="697"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r>
      <w:tr>
        <w:tblPrEx>
          <w:tblLayout w:type="fixed"/>
          <w:tblCellMar>
            <w:top w:w="0" w:type="dxa"/>
            <w:left w:w="108" w:type="dxa"/>
            <w:bottom w:w="0" w:type="dxa"/>
            <w:right w:w="108" w:type="dxa"/>
          </w:tblCellMar>
        </w:tblPrEx>
        <w:trPr>
          <w:trHeight w:val="355"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125.86</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117.93</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ind w:firstLine="1320" w:firstLineChars="600"/>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798" w:type="dxa"/>
            <w:gridSpan w:val="3"/>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九、住房保障支出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ind w:firstLine="1320" w:firstLineChars="600"/>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1.10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125.86</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123.13</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1.12</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3.84</w:t>
            </w:r>
          </w:p>
        </w:tc>
      </w:tr>
      <w:tr>
        <w:tblPrEx>
          <w:tblLayout w:type="fixed"/>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126.98</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126.98</w:t>
            </w:r>
          </w:p>
        </w:tc>
      </w:tr>
      <w:tr>
        <w:tblPrEx>
          <w:tblLayout w:type="fixed"/>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注：1.本表反映部门本年度的总收支和年末结转结余情况。</w:t>
            </w:r>
            <w:r>
              <w:rPr>
                <w:rFonts w:hint="default" w:ascii="Times New Roman" w:hAnsi="Times New Roman" w:eastAsia="宋体" w:cs="Times New Roman"/>
                <w:color w:val="auto"/>
                <w:kern w:val="0"/>
                <w:sz w:val="24"/>
                <w:szCs w:val="24"/>
              </w:rPr>
              <w:br w:type="textWrapping"/>
            </w:r>
            <w:r>
              <w:rPr>
                <w:rFonts w:hint="default" w:ascii="Times New Roman" w:hAnsi="Times New Roman" w:eastAsia="宋体" w:cs="Times New Roman"/>
                <w:color w:val="auto"/>
                <w:kern w:val="0"/>
                <w:sz w:val="24"/>
                <w:szCs w:val="24"/>
              </w:rPr>
              <w:t xml:space="preserve"> 2.本套报表金额单位转换时可能存在尾数误差。</w:t>
            </w:r>
          </w:p>
        </w:tc>
      </w:tr>
    </w:tbl>
    <w:p>
      <w:pPr>
        <w:jc w:val="center"/>
        <w:rPr>
          <w:rFonts w:hint="default"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10"/>
        <w:tblW w:w="14608" w:type="dxa"/>
        <w:tblInd w:w="0" w:type="dxa"/>
        <w:tblLayout w:type="fixed"/>
        <w:tblCellMar>
          <w:top w:w="0" w:type="dxa"/>
          <w:left w:w="0" w:type="dxa"/>
          <w:bottom w:w="0" w:type="dxa"/>
          <w:right w:w="0" w:type="dxa"/>
        </w:tblCellMar>
      </w:tblPr>
      <w:tblGrid>
        <w:gridCol w:w="60"/>
        <w:gridCol w:w="766"/>
        <w:gridCol w:w="4376"/>
        <w:gridCol w:w="1286"/>
        <w:gridCol w:w="1286"/>
        <w:gridCol w:w="1286"/>
        <w:gridCol w:w="1286"/>
        <w:gridCol w:w="1286"/>
        <w:gridCol w:w="1286"/>
        <w:gridCol w:w="1690"/>
      </w:tblGrid>
      <w:tr>
        <w:tblPrEx>
          <w:tblLayout w:type="fixed"/>
          <w:tblCellMar>
            <w:top w:w="0" w:type="dxa"/>
            <w:left w:w="0" w:type="dxa"/>
            <w:bottom w:w="0" w:type="dxa"/>
            <w:right w:w="0" w:type="dxa"/>
          </w:tblCellMar>
        </w:tblPrEx>
        <w:trPr>
          <w:trHeight w:val="435" w:hRule="atLeast"/>
        </w:trPr>
        <w:tc>
          <w:tcPr>
            <w:tcW w:w="14608" w:type="dxa"/>
            <w:gridSpan w:val="10"/>
            <w:tcBorders>
              <w:top w:val="nil"/>
              <w:left w:val="nil"/>
              <w:bottom w:val="nil"/>
              <w:right w:val="nil"/>
            </w:tcBorders>
            <w:shd w:val="clear" w:color="auto" w:fill="auto"/>
            <w:tcMar>
              <w:top w:w="15" w:type="dxa"/>
              <w:left w:w="15" w:type="dxa"/>
              <w:bottom w:w="0" w:type="dxa"/>
              <w:right w:w="15" w:type="dxa"/>
            </w:tcMar>
            <w:vAlign w:val="center"/>
          </w:tcPr>
          <w:p>
            <w:pPr>
              <w:jc w:val="center"/>
              <w:rPr>
                <w:rFonts w:hint="default" w:ascii="Times New Roman" w:hAnsi="Times New Roman" w:eastAsia="华文中宋" w:cs="Times New Roman"/>
                <w:color w:val="auto"/>
                <w:sz w:val="32"/>
                <w:szCs w:val="32"/>
              </w:rPr>
            </w:pPr>
            <w:r>
              <w:rPr>
                <w:rFonts w:hint="default" w:ascii="Times New Roman" w:hAnsi="Times New Roman" w:eastAsia="华文中宋" w:cs="Times New Roman"/>
                <w:color w:val="auto"/>
                <w:sz w:val="32"/>
                <w:szCs w:val="32"/>
              </w:rPr>
              <w:t>收入决算表</w:t>
            </w:r>
          </w:p>
        </w:tc>
      </w:tr>
      <w:tr>
        <w:tblPrEx>
          <w:tblLayout w:type="fixed"/>
          <w:tblCellMar>
            <w:top w:w="0" w:type="dxa"/>
            <w:left w:w="0" w:type="dxa"/>
            <w:bottom w:w="0" w:type="dxa"/>
            <w:right w:w="0" w:type="dxa"/>
          </w:tblCellMar>
        </w:tblPrEx>
        <w:trPr>
          <w:trHeight w:val="285" w:hRule="atLeast"/>
        </w:trPr>
        <w:tc>
          <w:tcPr>
            <w:tcW w:w="6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76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437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69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公开02表</w:t>
            </w:r>
          </w:p>
        </w:tc>
      </w:tr>
      <w:tr>
        <w:tblPrEx>
          <w:tblLayout w:type="fixed"/>
          <w:tblCellMar>
            <w:top w:w="0" w:type="dxa"/>
            <w:left w:w="0" w:type="dxa"/>
            <w:bottom w:w="0" w:type="dxa"/>
            <w:right w:w="0" w:type="dxa"/>
          </w:tblCellMar>
        </w:tblPrEx>
        <w:trPr>
          <w:trHeight w:val="285" w:hRule="atLeast"/>
        </w:trPr>
        <w:tc>
          <w:tcPr>
            <w:tcW w:w="826"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部门：</w:t>
            </w:r>
          </w:p>
        </w:tc>
        <w:tc>
          <w:tcPr>
            <w:tcW w:w="4376" w:type="dxa"/>
            <w:tcBorders>
              <w:top w:val="nil"/>
              <w:left w:val="nil"/>
              <w:bottom w:val="nil"/>
              <w:right w:val="nil"/>
            </w:tcBorders>
            <w:shd w:val="clear" w:color="000000" w:fill="FFFFFF"/>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0"/>
                <w:szCs w:val="20"/>
              </w:rPr>
              <w:t>湖南省新闻出版广电局株洲实验台</w:t>
            </w: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28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69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单位：万元</w:t>
            </w:r>
          </w:p>
        </w:tc>
      </w:tr>
      <w:tr>
        <w:tblPrEx>
          <w:tblLayout w:type="fixed"/>
          <w:tblCellMar>
            <w:top w:w="0" w:type="dxa"/>
            <w:left w:w="0" w:type="dxa"/>
            <w:bottom w:w="0" w:type="dxa"/>
            <w:right w:w="0" w:type="dxa"/>
          </w:tblCellMar>
        </w:tblPrEx>
        <w:trPr>
          <w:trHeight w:val="450" w:hRule="atLeast"/>
        </w:trPr>
        <w:tc>
          <w:tcPr>
            <w:tcW w:w="52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项    目</w:t>
            </w:r>
          </w:p>
        </w:tc>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本年收入合计</w:t>
            </w:r>
          </w:p>
        </w:tc>
        <w:tc>
          <w:tcPr>
            <w:tcW w:w="128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财政拨款收入</w:t>
            </w:r>
          </w:p>
        </w:tc>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上级补助收入</w:t>
            </w:r>
          </w:p>
        </w:tc>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事业收入</w:t>
            </w:r>
          </w:p>
        </w:tc>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经营收入</w:t>
            </w:r>
          </w:p>
        </w:tc>
        <w:tc>
          <w:tcPr>
            <w:tcW w:w="12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附属单位上缴收入</w:t>
            </w:r>
          </w:p>
        </w:tc>
        <w:tc>
          <w:tcPr>
            <w:tcW w:w="169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其他收入</w:t>
            </w:r>
          </w:p>
        </w:tc>
      </w:tr>
      <w:tr>
        <w:tblPrEx>
          <w:tblLayout w:type="fixed"/>
          <w:tblCellMar>
            <w:top w:w="0" w:type="dxa"/>
            <w:left w:w="0" w:type="dxa"/>
            <w:bottom w:w="0" w:type="dxa"/>
            <w:right w:w="0" w:type="dxa"/>
          </w:tblCellMar>
        </w:tblPrEx>
        <w:trPr>
          <w:trHeight w:val="450" w:hRule="atLeast"/>
        </w:trPr>
        <w:tc>
          <w:tcPr>
            <w:tcW w:w="82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功能分类科目编码</w:t>
            </w:r>
          </w:p>
        </w:tc>
        <w:tc>
          <w:tcPr>
            <w:tcW w:w="437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科目名称</w:t>
            </w: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9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Layout w:type="fixed"/>
          <w:tblCellMar>
            <w:top w:w="0" w:type="dxa"/>
            <w:left w:w="0" w:type="dxa"/>
            <w:bottom w:w="0" w:type="dxa"/>
            <w:right w:w="0" w:type="dxa"/>
          </w:tblCellMar>
        </w:tblPrEx>
        <w:trPr>
          <w:trHeight w:val="450" w:hRule="atLeast"/>
        </w:trPr>
        <w:tc>
          <w:tcPr>
            <w:tcW w:w="82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4376"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9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Layout w:type="fixed"/>
          <w:tblCellMar>
            <w:top w:w="0" w:type="dxa"/>
            <w:left w:w="0" w:type="dxa"/>
            <w:bottom w:w="0" w:type="dxa"/>
            <w:right w:w="0" w:type="dxa"/>
          </w:tblCellMar>
        </w:tblPrEx>
        <w:trPr>
          <w:trHeight w:val="450" w:hRule="atLeast"/>
        </w:trPr>
        <w:tc>
          <w:tcPr>
            <w:tcW w:w="52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栏次</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2</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3</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5</w:t>
            </w:r>
          </w:p>
        </w:tc>
        <w:tc>
          <w:tcPr>
            <w:tcW w:w="128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6</w:t>
            </w:r>
          </w:p>
        </w:tc>
        <w:tc>
          <w:tcPr>
            <w:tcW w:w="169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7</w:t>
            </w:r>
          </w:p>
        </w:tc>
      </w:tr>
      <w:tr>
        <w:tblPrEx>
          <w:tblLayout w:type="fixed"/>
          <w:tblCellMar>
            <w:top w:w="0" w:type="dxa"/>
            <w:left w:w="0" w:type="dxa"/>
            <w:bottom w:w="0" w:type="dxa"/>
            <w:right w:w="0" w:type="dxa"/>
          </w:tblCellMar>
        </w:tblPrEx>
        <w:trPr>
          <w:trHeight w:val="450" w:hRule="atLeast"/>
        </w:trPr>
        <w:tc>
          <w:tcPr>
            <w:tcW w:w="520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合计</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125.86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125.86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207</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文化旅游体育与传媒支出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120.66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120.66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20708</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广播电视</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rPr>
              <w:t>120.66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华文中宋" w:cs="Times New Roman"/>
                <w:color w:val="auto"/>
              </w:rPr>
              <w:t>120.66</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2070804</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广播</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华文中宋" w:cs="Times New Roman"/>
                <w:color w:val="auto"/>
              </w:rPr>
            </w:pPr>
            <w:r>
              <w:rPr>
                <w:rFonts w:hint="default" w:ascii="Times New Roman" w:hAnsi="Times New Roman" w:eastAsia="华文中宋" w:cs="Times New Roman"/>
                <w:color w:val="auto"/>
              </w:rPr>
              <w:t>114.95</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eastAsia="华文中宋" w:cs="Times New Roman"/>
                <w:color w:val="auto"/>
              </w:rPr>
              <w:t>114.95</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2070899</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其他广播电视支出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5.71</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5.71</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208</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社会保障和就业支出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20805</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行政事业单位养老支出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sz w:val="24"/>
                <w:szCs w:val="24"/>
              </w:rPr>
            </w:pPr>
            <w:r>
              <w:rPr>
                <w:rFonts w:hint="default" w:ascii="Times New Roman" w:hAnsi="Times New Roman" w:cs="Times New Roman"/>
                <w:color w:val="auto"/>
              </w:rPr>
              <w:t>2080505</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sz w:val="24"/>
                <w:szCs w:val="24"/>
              </w:rPr>
            </w:pPr>
            <w:r>
              <w:rPr>
                <w:rFonts w:hint="default" w:ascii="Times New Roman" w:hAnsi="Times New Roman" w:cs="Times New Roman"/>
                <w:color w:val="auto"/>
              </w:rPr>
              <w:t>机关事业单位基本养老保险缴纳支出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221</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住房保障支出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22102</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住房改革支出</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450" w:hRule="atLeast"/>
        </w:trPr>
        <w:tc>
          <w:tcPr>
            <w:tcW w:w="826"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2210201</w:t>
            </w:r>
          </w:p>
        </w:tc>
        <w:tc>
          <w:tcPr>
            <w:tcW w:w="437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rPr>
                <w:rFonts w:hint="default" w:ascii="Times New Roman" w:hAnsi="Times New Roman" w:cs="Times New Roman"/>
                <w:color w:val="auto"/>
              </w:rPr>
            </w:pPr>
            <w:r>
              <w:rPr>
                <w:rFonts w:hint="default" w:ascii="Times New Roman" w:hAnsi="Times New Roman" w:cs="Times New Roman"/>
                <w:color w:val="auto"/>
              </w:rPr>
              <w:t>住房公积金</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1.10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28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c>
          <w:tcPr>
            <w:tcW w:w="169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0.00</w:t>
            </w:r>
          </w:p>
        </w:tc>
      </w:tr>
      <w:tr>
        <w:tblPrEx>
          <w:tblLayout w:type="fixed"/>
          <w:tblCellMar>
            <w:top w:w="0" w:type="dxa"/>
            <w:left w:w="0" w:type="dxa"/>
            <w:bottom w:w="0" w:type="dxa"/>
            <w:right w:w="0" w:type="dxa"/>
          </w:tblCellMar>
        </w:tblPrEx>
        <w:trPr>
          <w:trHeight w:val="615" w:hRule="atLeast"/>
        </w:trPr>
        <w:tc>
          <w:tcPr>
            <w:tcW w:w="1460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注：本表反映部门本年度取得的各项收入情况。</w:t>
            </w:r>
          </w:p>
        </w:tc>
      </w:tr>
    </w:tbl>
    <w:p>
      <w:pPr>
        <w:widowControl/>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 xml:space="preserve"> </w:t>
      </w:r>
      <w:r>
        <w:rPr>
          <w:rFonts w:hint="default" w:ascii="Times New Roman" w:hAnsi="Times New Roman" w:eastAsia="黑体" w:cs="Times New Roman"/>
          <w:bCs/>
          <w:color w:val="auto"/>
          <w:kern w:val="0"/>
          <w:sz w:val="32"/>
          <w:szCs w:val="32"/>
        </w:rPr>
        <w:br w:type="page"/>
      </w:r>
    </w:p>
    <w:tbl>
      <w:tblPr>
        <w:tblStyle w:val="10"/>
        <w:tblpPr w:leftFromText="180" w:rightFromText="180" w:vertAnchor="text" w:horzAnchor="page" w:tblpX="661" w:tblpY="89"/>
        <w:tblOverlap w:val="never"/>
        <w:tblW w:w="14840" w:type="dxa"/>
        <w:tblInd w:w="0" w:type="dxa"/>
        <w:tblLayout w:type="fixed"/>
        <w:tblCellMar>
          <w:top w:w="0" w:type="dxa"/>
          <w:left w:w="108" w:type="dxa"/>
          <w:bottom w:w="0" w:type="dxa"/>
          <w:right w:w="108" w:type="dxa"/>
        </w:tblCellMar>
      </w:tblPr>
      <w:tblGrid>
        <w:gridCol w:w="1145"/>
        <w:gridCol w:w="238"/>
        <w:gridCol w:w="2331"/>
        <w:gridCol w:w="1243"/>
        <w:gridCol w:w="1198"/>
        <w:gridCol w:w="2269"/>
        <w:gridCol w:w="1883"/>
        <w:gridCol w:w="1883"/>
        <w:gridCol w:w="2650"/>
      </w:tblGrid>
      <w:tr>
        <w:tblPrEx>
          <w:tblLayout w:type="fixed"/>
          <w:tblCellMar>
            <w:top w:w="0" w:type="dxa"/>
            <w:left w:w="108" w:type="dxa"/>
            <w:bottom w:w="0" w:type="dxa"/>
            <w:right w:w="108" w:type="dxa"/>
          </w:tblCellMar>
        </w:tblPrEx>
        <w:trPr>
          <w:trHeight w:val="679" w:hRule="atLeast"/>
        </w:trPr>
        <w:tc>
          <w:tcPr>
            <w:tcW w:w="14840" w:type="dxa"/>
            <w:gridSpan w:val="9"/>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支出决算表</w:t>
            </w:r>
          </w:p>
        </w:tc>
      </w:tr>
      <w:tr>
        <w:tblPrEx>
          <w:tblLayout w:type="fixed"/>
          <w:tblCellMar>
            <w:top w:w="0" w:type="dxa"/>
            <w:left w:w="108" w:type="dxa"/>
            <w:bottom w:w="0" w:type="dxa"/>
            <w:right w:w="108" w:type="dxa"/>
          </w:tblCellMar>
        </w:tblPrEx>
        <w:trPr>
          <w:trHeight w:val="339" w:hRule="atLeast"/>
        </w:trPr>
        <w:tc>
          <w:tcPr>
            <w:tcW w:w="114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31"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4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19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69"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88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88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650"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公开03表</w:t>
            </w:r>
          </w:p>
        </w:tc>
      </w:tr>
      <w:tr>
        <w:tblPrEx>
          <w:tblLayout w:type="fixed"/>
          <w:tblCellMar>
            <w:top w:w="0" w:type="dxa"/>
            <w:left w:w="108" w:type="dxa"/>
            <w:bottom w:w="0" w:type="dxa"/>
            <w:right w:w="108" w:type="dxa"/>
          </w:tblCellMar>
        </w:tblPrEx>
        <w:trPr>
          <w:trHeight w:val="1019" w:hRule="atLeast"/>
        </w:trPr>
        <w:tc>
          <w:tcPr>
            <w:tcW w:w="1145"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p>
        </w:tc>
        <w:tc>
          <w:tcPr>
            <w:tcW w:w="5010" w:type="dxa"/>
            <w:gridSpan w:val="4"/>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p>
            <w:pPr>
              <w:widowControl/>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0"/>
                <w:szCs w:val="20"/>
              </w:rPr>
              <w:t>湖南省新闻出版广电局株洲实验台</w:t>
            </w:r>
            <w:r>
              <w:rPr>
                <w:rFonts w:hint="default" w:ascii="Times New Roman" w:hAnsi="Times New Roman" w:cs="Times New Roman"/>
                <w:color w:val="auto"/>
              </w:rPr>
              <w:t>　</w:t>
            </w:r>
            <w:r>
              <w:rPr>
                <w:rFonts w:hint="default" w:ascii="Times New Roman" w:hAnsi="Times New Roman" w:eastAsia="宋体" w:cs="Times New Roman"/>
                <w:color w:val="auto"/>
                <w:kern w:val="0"/>
                <w:sz w:val="24"/>
                <w:szCs w:val="24"/>
              </w:rPr>
              <w:t>　</w:t>
            </w:r>
          </w:p>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269"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88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88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650"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350" w:hRule="atLeast"/>
        </w:trPr>
        <w:tc>
          <w:tcPr>
            <w:tcW w:w="371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12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本年支出合计</w:t>
            </w:r>
          </w:p>
        </w:tc>
        <w:tc>
          <w:tcPr>
            <w:tcW w:w="119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基本支出</w:t>
            </w:r>
          </w:p>
        </w:tc>
        <w:tc>
          <w:tcPr>
            <w:tcW w:w="226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c>
          <w:tcPr>
            <w:tcW w:w="18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上缴上级支出</w:t>
            </w:r>
          </w:p>
        </w:tc>
        <w:tc>
          <w:tcPr>
            <w:tcW w:w="188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经营支出</w:t>
            </w:r>
          </w:p>
        </w:tc>
        <w:tc>
          <w:tcPr>
            <w:tcW w:w="265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对附属单位补助支出</w:t>
            </w:r>
          </w:p>
        </w:tc>
      </w:tr>
      <w:tr>
        <w:tblPrEx>
          <w:tblLayout w:type="fixed"/>
          <w:tblCellMar>
            <w:top w:w="0" w:type="dxa"/>
            <w:left w:w="108" w:type="dxa"/>
            <w:bottom w:w="0" w:type="dxa"/>
            <w:right w:w="108" w:type="dxa"/>
          </w:tblCellMar>
        </w:tblPrEx>
        <w:trPr>
          <w:trHeight w:val="350" w:hRule="atLeast"/>
        </w:trPr>
        <w:tc>
          <w:tcPr>
            <w:tcW w:w="138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233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350" w:hRule="atLeast"/>
        </w:trPr>
        <w:tc>
          <w:tcPr>
            <w:tcW w:w="13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331"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1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2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350" w:hRule="atLeast"/>
        </w:trPr>
        <w:tc>
          <w:tcPr>
            <w:tcW w:w="371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124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119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226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88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88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265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w:t>
            </w:r>
          </w:p>
        </w:tc>
      </w:tr>
      <w:tr>
        <w:tblPrEx>
          <w:tblLayout w:type="fixed"/>
          <w:tblCellMar>
            <w:top w:w="0" w:type="dxa"/>
            <w:left w:w="108" w:type="dxa"/>
            <w:bottom w:w="0" w:type="dxa"/>
            <w:right w:w="108" w:type="dxa"/>
          </w:tblCellMar>
        </w:tblPrEx>
        <w:trPr>
          <w:trHeight w:val="350" w:hRule="atLeast"/>
        </w:trPr>
        <w:tc>
          <w:tcPr>
            <w:tcW w:w="371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123.13</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114.20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8.93</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69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207</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文化旅游体育与传媒支出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117.93</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109.00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8.93</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35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20708</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广播电视</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117.93</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109.00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8.93</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35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2070804</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广播</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112.22</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109.00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3.22</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595"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2070899</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其他广播电视支出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5.71</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5.71</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595"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社会保障和就业支出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69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20805</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行政事业单位养老支出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884"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2080505</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机关事业单位基本养老保险缴纳支出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435"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221</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住房保障支出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435"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22102</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住房改革支出</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35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2210201</w:t>
            </w:r>
          </w:p>
        </w:tc>
        <w:tc>
          <w:tcPr>
            <w:tcW w:w="2331" w:type="dxa"/>
            <w:tcBorders>
              <w:top w:val="nil"/>
              <w:left w:val="nil"/>
              <w:bottom w:val="single" w:color="auto" w:sz="4" w:space="0"/>
              <w:right w:val="single" w:color="auto" w:sz="4" w:space="0"/>
            </w:tcBorders>
            <w:shd w:val="clear" w:color="000000" w:fill="FFFFFF"/>
            <w:vAlign w:val="center"/>
          </w:tcPr>
          <w:p>
            <w:pP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住房公积金</w:t>
            </w:r>
          </w:p>
        </w:tc>
        <w:tc>
          <w:tcPr>
            <w:tcW w:w="12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119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1.10</w:t>
            </w:r>
          </w:p>
        </w:tc>
        <w:tc>
          <w:tcPr>
            <w:tcW w:w="2269"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cs="Times New Roman"/>
                <w:color w:val="auto"/>
              </w:rPr>
              <w:t>0.00</w:t>
            </w:r>
          </w:p>
        </w:tc>
        <w:tc>
          <w:tcPr>
            <w:tcW w:w="188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c>
          <w:tcPr>
            <w:tcW w:w="26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0.00</w:t>
            </w:r>
          </w:p>
        </w:tc>
      </w:tr>
      <w:tr>
        <w:tblPrEx>
          <w:tblLayout w:type="fixed"/>
          <w:tblCellMar>
            <w:top w:w="0" w:type="dxa"/>
            <w:left w:w="108" w:type="dxa"/>
            <w:bottom w:w="0" w:type="dxa"/>
            <w:right w:w="108" w:type="dxa"/>
          </w:tblCellMar>
        </w:tblPrEx>
        <w:trPr>
          <w:trHeight w:val="350" w:hRule="atLeast"/>
        </w:trPr>
        <w:tc>
          <w:tcPr>
            <w:tcW w:w="14840"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注：本表反映部门本年度各项支出情况。</w:t>
            </w:r>
          </w:p>
        </w:tc>
      </w:tr>
    </w:tbl>
    <w:p>
      <w:pPr>
        <w:widowControl/>
        <w:rPr>
          <w:rFonts w:hint="default" w:ascii="Times New Roman" w:hAnsi="Times New Roman" w:eastAsia="方正小标宋_GBK" w:cs="Times New Roman"/>
          <w:color w:val="auto"/>
          <w:kern w:val="0"/>
          <w:sz w:val="36"/>
          <w:szCs w:val="36"/>
        </w:rPr>
      </w:pPr>
    </w:p>
    <w:p>
      <w:pPr>
        <w:widowControl/>
        <w:ind w:left="93"/>
        <w:jc w:val="center"/>
        <w:rPr>
          <w:rFonts w:hint="default" w:ascii="Times New Roman" w:hAnsi="Times New Roman" w:eastAsia="方正小标宋_GBK" w:cs="Times New Roman"/>
          <w:color w:val="auto"/>
          <w:kern w:val="0"/>
          <w:sz w:val="36"/>
          <w:szCs w:val="21"/>
        </w:rPr>
      </w:pPr>
    </w:p>
    <w:p>
      <w:pPr>
        <w:widowControl/>
        <w:ind w:left="93"/>
        <w:jc w:val="center"/>
        <w:rPr>
          <w:rFonts w:hint="default" w:ascii="Times New Roman" w:hAnsi="Times New Roman" w:eastAsia="方正小标宋_GBK" w:cs="Times New Roman"/>
          <w:color w:val="auto"/>
          <w:kern w:val="0"/>
          <w:sz w:val="36"/>
          <w:szCs w:val="21"/>
        </w:rPr>
      </w:pPr>
    </w:p>
    <w:p>
      <w:pPr>
        <w:widowControl/>
        <w:ind w:left="93"/>
        <w:jc w:val="center"/>
        <w:rPr>
          <w:rFonts w:hint="default" w:ascii="Times New Roman" w:hAnsi="Times New Roman" w:eastAsia="方正小标宋_GBK" w:cs="Times New Roman"/>
          <w:color w:val="auto"/>
          <w:kern w:val="0"/>
          <w:sz w:val="36"/>
          <w:szCs w:val="21"/>
        </w:rPr>
      </w:pPr>
    </w:p>
    <w:p>
      <w:pPr>
        <w:widowControl/>
        <w:ind w:left="93"/>
        <w:jc w:val="center"/>
        <w:rPr>
          <w:rFonts w:hint="default" w:ascii="Times New Roman" w:hAnsi="Times New Roman" w:eastAsia="方正小标宋_GBK" w:cs="Times New Roman"/>
          <w:color w:val="auto"/>
          <w:kern w:val="0"/>
          <w:sz w:val="36"/>
          <w:szCs w:val="21"/>
        </w:rPr>
      </w:pPr>
    </w:p>
    <w:tbl>
      <w:tblPr>
        <w:tblStyle w:val="10"/>
        <w:tblW w:w="15521" w:type="dxa"/>
        <w:tblInd w:w="93" w:type="dxa"/>
        <w:tblLayout w:type="fixed"/>
        <w:tblCellMar>
          <w:top w:w="0" w:type="dxa"/>
          <w:left w:w="108" w:type="dxa"/>
          <w:bottom w:w="0" w:type="dxa"/>
          <w:right w:w="108" w:type="dxa"/>
        </w:tblCellMar>
      </w:tblPr>
      <w:tblGrid>
        <w:gridCol w:w="3717"/>
        <w:gridCol w:w="450"/>
        <w:gridCol w:w="942"/>
        <w:gridCol w:w="3411"/>
        <w:gridCol w:w="632"/>
        <w:gridCol w:w="435"/>
        <w:gridCol w:w="1573"/>
        <w:gridCol w:w="1394"/>
        <w:gridCol w:w="1394"/>
        <w:gridCol w:w="1573"/>
      </w:tblGrid>
      <w:tr>
        <w:tblPrEx>
          <w:tblLayout w:type="fixed"/>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vAlign w:val="center"/>
          </w:tcPr>
          <w:p>
            <w:pPr>
              <w:widowControl/>
              <w:rPr>
                <w:rFonts w:hint="default" w:ascii="Times New Roman" w:hAnsi="Times New Roman" w:eastAsia="华文中宋" w:cs="Times New Roman"/>
                <w:color w:val="auto"/>
                <w:kern w:val="0"/>
                <w:sz w:val="32"/>
                <w:szCs w:val="32"/>
              </w:rPr>
            </w:pPr>
            <w:bookmarkStart w:id="0" w:name="RANGE!A1:I22"/>
            <w:bookmarkEnd w:id="0"/>
            <w:bookmarkStart w:id="1" w:name="RANGE!A1:F16"/>
          </w:p>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财政拨款收入支出决算总表</w:t>
            </w:r>
          </w:p>
        </w:tc>
      </w:tr>
      <w:tr>
        <w:tblPrEx>
          <w:tblLayout w:type="fixed"/>
          <w:tblCellMar>
            <w:top w:w="0" w:type="dxa"/>
            <w:left w:w="108" w:type="dxa"/>
            <w:bottom w:w="0" w:type="dxa"/>
            <w:right w:w="108" w:type="dxa"/>
          </w:tblCellMar>
        </w:tblPrEx>
        <w:trPr>
          <w:trHeight w:val="199" w:hRule="atLeast"/>
        </w:trPr>
        <w:tc>
          <w:tcPr>
            <w:tcW w:w="3717"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50"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4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043"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公开04表</w:t>
            </w:r>
          </w:p>
        </w:tc>
      </w:tr>
      <w:tr>
        <w:tblPrEx>
          <w:tblLayout w:type="fixed"/>
          <w:tblCellMar>
            <w:top w:w="0" w:type="dxa"/>
            <w:left w:w="108" w:type="dxa"/>
            <w:bottom w:w="0" w:type="dxa"/>
            <w:right w:w="108" w:type="dxa"/>
          </w:tblCellMar>
        </w:tblPrEx>
        <w:trPr>
          <w:trHeight w:val="300" w:hRule="atLeast"/>
        </w:trPr>
        <w:tc>
          <w:tcPr>
            <w:tcW w:w="3717"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部门：湖南省新闻出版广电局株洲实验台</w:t>
            </w:r>
            <w:r>
              <w:rPr>
                <w:rFonts w:hint="default" w:ascii="Times New Roman" w:hAnsi="Times New Roman" w:cs="Times New Roman"/>
                <w:color w:val="auto"/>
              </w:rPr>
              <w:t>　</w:t>
            </w:r>
          </w:p>
        </w:tc>
        <w:tc>
          <w:tcPr>
            <w:tcW w:w="450"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4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043"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Layout w:type="fixed"/>
          <w:tblCellMar>
            <w:top w:w="0" w:type="dxa"/>
            <w:left w:w="108" w:type="dxa"/>
            <w:bottom w:w="0" w:type="dxa"/>
            <w:right w:w="108" w:type="dxa"/>
          </w:tblCellMar>
        </w:tblPrEx>
        <w:trPr>
          <w:trHeight w:val="630"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金额</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国有资本经营预算财政拨款</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125.86</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4"/>
                <w:szCs w:val="24"/>
              </w:rPr>
              <w:t>六、文化旅游体育与传媒支出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117.93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117.93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rPr>
              <w:t>七、社会保障和就业支出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4.10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p>
        </w:tc>
        <w:tc>
          <w:tcPr>
            <w:tcW w:w="3411"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0"/>
                <w:szCs w:val="20"/>
              </w:rPr>
              <w:t>八、住房保障支出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125.86</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123.13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123.13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年初财政拨款结转和结余</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1.12</w:t>
            </w:r>
          </w:p>
        </w:tc>
        <w:tc>
          <w:tcPr>
            <w:tcW w:w="34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3.84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3.84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一般公共预算财政拨款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1.12</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政府性基金预算财政拨款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国有资本经营预算财政拨款</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341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402" w:hRule="atLeast"/>
        </w:trPr>
        <w:tc>
          <w:tcPr>
            <w:tcW w:w="37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45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94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126.98</w:t>
            </w:r>
          </w:p>
        </w:tc>
        <w:tc>
          <w:tcPr>
            <w:tcW w:w="3411"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28</w:t>
            </w:r>
          </w:p>
        </w:tc>
        <w:tc>
          <w:tcPr>
            <w:tcW w:w="1573"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126.98</w:t>
            </w:r>
          </w:p>
        </w:tc>
        <w:tc>
          <w:tcPr>
            <w:tcW w:w="1394"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126.98</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0.00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color w:val="auto"/>
                <w:kern w:val="0"/>
                <w:sz w:val="22"/>
              </w:rPr>
              <w:t>0.00</w:t>
            </w:r>
          </w:p>
        </w:tc>
      </w:tr>
      <w:tr>
        <w:tblPrEx>
          <w:tblLayout w:type="fixed"/>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rPr>
          <w:rFonts w:hint="default" w:ascii="Times New Roman" w:hAnsi="Times New Roman" w:eastAsia="方正小标宋_GBK" w:cs="Times New Roman"/>
          <w:color w:val="auto"/>
          <w:kern w:val="0"/>
          <w:sz w:val="36"/>
          <w:szCs w:val="36"/>
        </w:rPr>
      </w:pPr>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ind w:left="13860" w:hanging="13860" w:hangingChars="66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部门： </w:t>
      </w:r>
      <w:r>
        <w:rPr>
          <w:rFonts w:hint="default" w:ascii="Times New Roman" w:hAnsi="Times New Roman" w:eastAsia="宋体" w:cs="Times New Roman"/>
          <w:color w:val="auto"/>
          <w:kern w:val="0"/>
          <w:sz w:val="20"/>
          <w:szCs w:val="20"/>
        </w:rPr>
        <w:t>湖南省新闻出版广电局株洲实验台</w:t>
      </w:r>
      <w:r>
        <w:rPr>
          <w:rFonts w:hint="default" w:ascii="Times New Roman" w:hAnsi="Times New Roman" w:eastAsia="仿宋_GB2312" w:cs="Times New Roman"/>
          <w:color w:val="auto"/>
          <w:kern w:val="0"/>
          <w:szCs w:val="21"/>
        </w:rPr>
        <w:t xml:space="preserve">                                                                                                              公开05表</w:t>
      </w:r>
    </w:p>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Cs w:val="21"/>
        </w:rPr>
        <w:t xml:space="preserve">                                                                                                                                  单位：万元</w:t>
      </w:r>
    </w:p>
    <w:tbl>
      <w:tblPr>
        <w:tblStyle w:val="10"/>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123.13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114.20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207</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117.93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20708</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广播电视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117.93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2070804</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广播</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112.22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109.00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3.22</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2070899</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其他广播电视支出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5.71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5.71</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20805</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2080505</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机关事业单位基本养老保险缴纳支出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221</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22102</w:t>
            </w:r>
          </w:p>
        </w:tc>
        <w:tc>
          <w:tcPr>
            <w:tcW w:w="3527" w:type="dxa"/>
            <w:tcBorders>
              <w:top w:val="nil"/>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住房改革支出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2210201</w:t>
            </w:r>
          </w:p>
        </w:tc>
        <w:tc>
          <w:tcPr>
            <w:tcW w:w="3527" w:type="dxa"/>
            <w:tcBorders>
              <w:top w:val="nil"/>
              <w:left w:val="nil"/>
              <w:bottom w:val="single" w:color="auto" w:sz="8" w:space="0"/>
              <w:right w:val="single" w:color="auto" w:sz="4" w:space="0"/>
            </w:tcBorders>
            <w:shd w:val="clear" w:color="auto" w:fill="auto"/>
            <w:vAlign w:val="center"/>
          </w:tcPr>
          <w:p>
            <w:pP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kern w:val="0"/>
                <w:sz w:val="22"/>
              </w:rPr>
              <w:t>　0.00</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注：本表反映部门本年度一般公共预算财政拨款支出情况。</w:t>
            </w:r>
          </w:p>
        </w:tc>
      </w:tr>
    </w:tbl>
    <w:tbl>
      <w:tblPr>
        <w:tblStyle w:val="10"/>
        <w:tblpPr w:leftFromText="180" w:rightFromText="180" w:vertAnchor="text" w:horzAnchor="page" w:tblpX="751" w:tblpY="129"/>
        <w:tblOverlap w:val="never"/>
        <w:tblW w:w="15614" w:type="dxa"/>
        <w:tblInd w:w="0" w:type="dxa"/>
        <w:tblLayout w:type="fixed"/>
        <w:tblCellMar>
          <w:top w:w="0" w:type="dxa"/>
          <w:left w:w="108" w:type="dxa"/>
          <w:bottom w:w="0" w:type="dxa"/>
          <w:right w:w="108" w:type="dxa"/>
        </w:tblCellMar>
      </w:tblPr>
      <w:tblGrid>
        <w:gridCol w:w="1065"/>
        <w:gridCol w:w="3398"/>
        <w:gridCol w:w="1306"/>
        <w:gridCol w:w="1071"/>
        <w:gridCol w:w="2130"/>
        <w:gridCol w:w="1065"/>
        <w:gridCol w:w="1140"/>
        <w:gridCol w:w="3450"/>
        <w:gridCol w:w="989"/>
      </w:tblGrid>
      <w:tr>
        <w:tblPrEx>
          <w:tblLayout w:type="fixed"/>
          <w:tblCellMar>
            <w:top w:w="0" w:type="dxa"/>
            <w:left w:w="108" w:type="dxa"/>
            <w:bottom w:w="0" w:type="dxa"/>
            <w:right w:w="108" w:type="dxa"/>
          </w:tblCellMar>
        </w:tblPrEx>
        <w:trPr>
          <w:trHeight w:val="816" w:hRule="atLeast"/>
        </w:trPr>
        <w:tc>
          <w:tcPr>
            <w:tcW w:w="15614" w:type="dxa"/>
            <w:gridSpan w:val="9"/>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Cs w:val="32"/>
              </w:rPr>
            </w:pPr>
            <w:bookmarkStart w:id="2" w:name="RANGE!A1:I34"/>
            <w:r>
              <w:rPr>
                <w:rFonts w:hint="default" w:ascii="Times New Roman" w:hAnsi="Times New Roman" w:eastAsia="华文中宋" w:cs="Times New Roman"/>
                <w:color w:val="auto"/>
                <w:kern w:val="0"/>
                <w:szCs w:val="32"/>
              </w:rPr>
              <w:t>一般公共预算财政拨款基本支出决算表</w:t>
            </w:r>
            <w:bookmarkEnd w:id="2"/>
          </w:p>
          <w:p>
            <w:pPr>
              <w:widowControl/>
              <w:wordWrap w:val="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部门：湖南省新闻出版广电局株洲实验台                                                                                                             </w:t>
            </w:r>
          </w:p>
          <w:p>
            <w:pPr>
              <w:widowControl/>
              <w:jc w:val="right"/>
              <w:rPr>
                <w:rFonts w:hint="default" w:ascii="Times New Roman" w:hAnsi="Times New Roman" w:eastAsia="华文中宋" w:cs="Times New Roman"/>
                <w:color w:val="auto"/>
                <w:kern w:val="0"/>
                <w:szCs w:val="32"/>
              </w:rPr>
            </w:pPr>
            <w:r>
              <w:rPr>
                <w:rFonts w:hint="default" w:ascii="Times New Roman" w:hAnsi="Times New Roman" w:eastAsia="仿宋_GB2312" w:cs="Times New Roman"/>
                <w:color w:val="auto"/>
                <w:kern w:val="0"/>
                <w:szCs w:val="21"/>
              </w:rPr>
              <w:t>公开06表   单位：万元</w:t>
            </w:r>
          </w:p>
        </w:tc>
      </w:tr>
      <w:tr>
        <w:tblPrEx>
          <w:tblLayout w:type="fixed"/>
          <w:tblCellMar>
            <w:top w:w="0" w:type="dxa"/>
            <w:left w:w="108" w:type="dxa"/>
            <w:bottom w:w="0" w:type="dxa"/>
            <w:right w:w="108" w:type="dxa"/>
          </w:tblCellMar>
        </w:tblPrEx>
        <w:trPr>
          <w:trHeight w:val="524" w:hRule="atLeast"/>
        </w:trPr>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 w:val="20"/>
                <w:szCs w:val="20"/>
              </w:rPr>
              <w:t>经济分类科目编码</w:t>
            </w:r>
          </w:p>
        </w:tc>
        <w:tc>
          <w:tcPr>
            <w:tcW w:w="33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13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10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21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34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工资福利支出</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66.16　66.16666.16</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商品和服务支出</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47.72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债务利息及费用支出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30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30101</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基本工资</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12.31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30201</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2.69</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30701</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国内债务付息</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30102</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津贴补贴</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5.32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30202</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印刷费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30702</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国外债务付息</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30103</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奖金</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10.89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30203</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咨询费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资本性支出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30106</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伙食补助费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30204</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手续费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31001</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房屋建筑物购建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30107</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绩效工资</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5.25</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30205</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水费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0.40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31002</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办公设备购置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30108</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机关事业单位基本养老保险缴费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6.03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30206</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电费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6.10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31003</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专用设备购置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30109</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职业年金缴费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0.99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30207</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邮电费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1.60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31005</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基础设施建设</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30110</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职工基本医疗保险缴费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2.63</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30208</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取暖费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31006</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大型修缮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30111</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公务员医疗补助缴费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6.09</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30209</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物业管理费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0.80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31007</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信息网络及软件购置更新</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30112</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其他社会保障缴费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2.62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30211</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差旅费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1.42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31008</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物资储备</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30113</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住房公积金</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5.42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30212</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因公出国（境）费用</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31009</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土地补偿</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30114</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30213</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维修（护）费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10.19</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31010</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安置补助</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30199</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其他工资福利支出</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8.61</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30214</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租赁费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31011</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地上附着物和青苗补偿</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对个人和家庭的补助</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0.32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30215</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会议费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0.30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31012</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拆迁补偿</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30301</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离休费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30216</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培训费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31013</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30302</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退休费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30217</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公务接待费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1.66</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31019</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其他交通工具购置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30303</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退职（役）费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30218</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专用材料费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31021</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文物和陈列品购置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30304</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抚恤金</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30224</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被装购置费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31022</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无形资产购置</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30305</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生活补助</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30225</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专用燃料费</w:t>
            </w:r>
          </w:p>
        </w:tc>
        <w:tc>
          <w:tcPr>
            <w:tcW w:w="1065"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　</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31099</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其他资本性支出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30306</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救济费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30226</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劳务费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12.02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其他支出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30307</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医疗费补助</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30227</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委托业务费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39906</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赠与</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30308</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助学金</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30228</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工会经费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2.50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39907</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国家赔偿费用支出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30309</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奖励金</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0.32</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30229</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福利费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3.16</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39908</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对民间非营利组织和群众性自治组织补贴</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30310</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个人农业生产补贴</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30231</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公务用车运行维护费</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2.05</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39999</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其他支出</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0.00</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30311</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代缴社会保险费</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30239</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其他交通费用</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0.10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30399</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其他对个人和家庭的补助</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0.00</w:t>
            </w: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30240</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税金及附加费用</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0.02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Layout w:type="fixed"/>
          <w:tblCellMar>
            <w:top w:w="0" w:type="dxa"/>
            <w:left w:w="108" w:type="dxa"/>
            <w:bottom w:w="0" w:type="dxa"/>
            <w:right w:w="108" w:type="dxa"/>
          </w:tblCellMar>
        </w:tblPrEx>
        <w:trPr>
          <w:cantSplit/>
          <w:trHeight w:val="284" w:hRule="exact"/>
        </w:trPr>
        <w:tc>
          <w:tcPr>
            <w:tcW w:w="106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339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p>
        </w:tc>
        <w:tc>
          <w:tcPr>
            <w:tcW w:w="107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30299</w:t>
            </w:r>
          </w:p>
        </w:tc>
        <w:tc>
          <w:tcPr>
            <w:tcW w:w="213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其他商品和服务支出</w:t>
            </w:r>
          </w:p>
        </w:tc>
        <w:tc>
          <w:tcPr>
            <w:tcW w:w="10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2.71</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34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r>
      <w:tr>
        <w:tblPrEx>
          <w:tblLayout w:type="fixed"/>
          <w:tblCellMar>
            <w:top w:w="0" w:type="dxa"/>
            <w:left w:w="108" w:type="dxa"/>
            <w:bottom w:w="0" w:type="dxa"/>
            <w:right w:w="108" w:type="dxa"/>
          </w:tblCellMar>
        </w:tblPrEx>
        <w:trPr>
          <w:trHeight w:val="284" w:hRule="exact"/>
        </w:trPr>
        <w:tc>
          <w:tcPr>
            <w:tcW w:w="44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人员经费合计</w:t>
            </w:r>
          </w:p>
        </w:tc>
        <w:tc>
          <w:tcPr>
            <w:tcW w:w="130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66.48</w:t>
            </w:r>
          </w:p>
        </w:tc>
        <w:tc>
          <w:tcPr>
            <w:tcW w:w="885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公用经费合计</w:t>
            </w:r>
          </w:p>
        </w:tc>
        <w:tc>
          <w:tcPr>
            <w:tcW w:w="98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47.72</w:t>
            </w:r>
          </w:p>
        </w:tc>
      </w:tr>
      <w:tr>
        <w:tblPrEx>
          <w:tblLayout w:type="fixed"/>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Cs w:val="24"/>
              </w:rPr>
              <w:t>注：本表反映部门本年度一般公共预算财政拨款基本支出明细情况。</w:t>
            </w:r>
          </w:p>
        </w:tc>
      </w:tr>
    </w:tbl>
    <w:p>
      <w:pPr>
        <w:widowControl/>
        <w:jc w:val="left"/>
        <w:rPr>
          <w:rFonts w:hint="default" w:ascii="Times New Roman" w:hAnsi="Times New Roman" w:eastAsia="仿宋_GB2312" w:cs="Times New Roman"/>
          <w:bCs/>
          <w:color w:val="auto"/>
          <w:kern w:val="0"/>
          <w:szCs w:val="21"/>
        </w:rPr>
      </w:pPr>
    </w:p>
    <w:p>
      <w:pPr>
        <w:widowControl/>
        <w:jc w:val="left"/>
        <w:rPr>
          <w:rFonts w:hint="default" w:ascii="Times New Roman" w:hAnsi="Times New Roman" w:eastAsia="仿宋_GB2312" w:cs="Times New Roman"/>
          <w:bCs/>
          <w:color w:val="auto"/>
          <w:kern w:val="0"/>
          <w:szCs w:val="21"/>
        </w:rPr>
      </w:pPr>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一般公共预算财政拨款“三公”经费支出决算表</w:t>
      </w:r>
    </w:p>
    <w:p>
      <w:pPr>
        <w:widowControl/>
        <w:ind w:left="13860" w:hanging="13860" w:hangingChars="66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部门： 湖南省新闻出版广电局株洲实验台                                                                                                                              公开07表</w:t>
      </w:r>
    </w:p>
    <w:p>
      <w:pPr>
        <w:widowControl/>
        <w:ind w:right="42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单位：万元</w:t>
      </w:r>
    </w:p>
    <w:tbl>
      <w:tblPr>
        <w:tblStyle w:val="10"/>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5.00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3.00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3.00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2.00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3.66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2.00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0.00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2.00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1.66</w:t>
            </w:r>
          </w:p>
        </w:tc>
      </w:tr>
    </w:tbl>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default"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hint="default" w:ascii="Times New Roman" w:hAnsi="Times New Roman" w:eastAsia="宋体" w:cs="Times New Roman"/>
          <w:color w:val="auto"/>
          <w:kern w:val="0"/>
          <w:sz w:val="24"/>
          <w:szCs w:val="24"/>
        </w:rPr>
      </w:pPr>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政府性基金预算财政拨款收入支出决算表</w:t>
      </w:r>
    </w:p>
    <w:p>
      <w:pPr>
        <w:widowControl/>
        <w:wordWrap w:val="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部门：   湖南省新闻出版广电局株洲实验台                                                                                                                    公开08表</w:t>
      </w:r>
    </w:p>
    <w:p>
      <w:pPr>
        <w:widowControl/>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单位：万元</w:t>
      </w:r>
    </w:p>
    <w:tbl>
      <w:tblPr>
        <w:tblStyle w:val="10"/>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    目</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13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13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13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1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1320" w:type="dxa"/>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000" w:type="dxa"/>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widowControl/>
        <w:ind w:firstLine="420" w:firstLineChars="2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注：本表反映部门本年度政府性基金预算财政拨款收入、支出及结转和结余情况</w:t>
      </w:r>
    </w:p>
    <w:p>
      <w:pPr>
        <w:widowControl/>
        <w:ind w:firstLine="630" w:firstLineChars="3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湖南省新闻出版广电局株洲实验台本单位没有政府性基金收入，也没有使用政府性基金安排的支出，故本表无数据。</w:t>
      </w:r>
    </w:p>
    <w:p>
      <w:pPr>
        <w:widowControl/>
        <w:ind w:firstLine="630" w:firstLineChars="300"/>
        <w:jc w:val="left"/>
        <w:rPr>
          <w:rFonts w:hint="default" w:ascii="Times New Roman" w:hAnsi="Times New Roman" w:eastAsia="仿宋_GB2312" w:cs="Times New Roman"/>
          <w:color w:val="auto"/>
          <w:kern w:val="0"/>
          <w:szCs w:val="21"/>
        </w:rPr>
      </w:pPr>
    </w:p>
    <w:p>
      <w:pPr>
        <w:widowControl/>
        <w:ind w:firstLine="630" w:firstLineChars="300"/>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黑体" w:cs="Times New Roman"/>
          <w:color w:val="auto"/>
          <w:szCs w:val="21"/>
        </w:rPr>
      </w:pPr>
    </w:p>
    <w:tbl>
      <w:tblPr>
        <w:tblStyle w:val="10"/>
        <w:tblW w:w="14190" w:type="dxa"/>
        <w:tblInd w:w="93" w:type="dxa"/>
        <w:tblLayout w:type="fixed"/>
        <w:tblCellMar>
          <w:top w:w="0" w:type="dxa"/>
          <w:left w:w="108" w:type="dxa"/>
          <w:bottom w:w="0" w:type="dxa"/>
          <w:right w:w="108" w:type="dxa"/>
        </w:tblCellMar>
      </w:tblPr>
      <w:tblGrid>
        <w:gridCol w:w="1060"/>
        <w:gridCol w:w="560"/>
        <w:gridCol w:w="3215"/>
        <w:gridCol w:w="1225"/>
        <w:gridCol w:w="1326"/>
        <w:gridCol w:w="1294"/>
        <w:gridCol w:w="1683"/>
        <w:gridCol w:w="3827"/>
      </w:tblGrid>
      <w:tr>
        <w:tblPrEx>
          <w:tblLayout w:type="fixed"/>
          <w:tblCellMar>
            <w:top w:w="0" w:type="dxa"/>
            <w:left w:w="108" w:type="dxa"/>
            <w:bottom w:w="0" w:type="dxa"/>
            <w:right w:w="108" w:type="dxa"/>
          </w:tblCellMar>
        </w:tblPrEx>
        <w:trPr>
          <w:trHeight w:val="720" w:hRule="atLeast"/>
        </w:trPr>
        <w:tc>
          <w:tcPr>
            <w:tcW w:w="14190" w:type="dxa"/>
            <w:gridSpan w:val="8"/>
            <w:tcBorders>
              <w:top w:val="nil"/>
              <w:left w:val="nil"/>
              <w:bottom w:val="nil"/>
              <w:right w:val="nil"/>
            </w:tcBorders>
            <w:shd w:val="clear" w:color="000000" w:fill="FFFFFF"/>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国有资本经营预算财政拨款支出决算表</w:t>
            </w:r>
          </w:p>
        </w:tc>
      </w:tr>
      <w:tr>
        <w:tblPrEx>
          <w:tblLayout w:type="fixed"/>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3215"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公开09表</w:t>
            </w:r>
          </w:p>
        </w:tc>
      </w:tr>
      <w:tr>
        <w:tblPrEx>
          <w:tblLayout w:type="fixed"/>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p>
        </w:tc>
        <w:tc>
          <w:tcPr>
            <w:tcW w:w="3775" w:type="dxa"/>
            <w:gridSpan w:val="2"/>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Cs w:val="21"/>
              </w:rPr>
              <w:t>湖南省新闻出版广电局株洲实验台</w:t>
            </w:r>
            <w:r>
              <w:rPr>
                <w:rFonts w:hint="default" w:ascii="Times New Roman" w:hAnsi="Times New Roman" w:eastAsia="宋体" w:cs="Times New Roman"/>
                <w:color w:val="auto"/>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Layout w:type="fixed"/>
          <w:tblCellMar>
            <w:top w:w="0" w:type="dxa"/>
            <w:left w:w="108" w:type="dxa"/>
            <w:bottom w:w="0" w:type="dxa"/>
            <w:right w:w="108" w:type="dxa"/>
          </w:tblCellMar>
        </w:tblPrEx>
        <w:trPr>
          <w:trHeight w:val="402" w:hRule="atLeast"/>
        </w:trPr>
        <w:tc>
          <w:tcPr>
            <w:tcW w:w="483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项 </w:t>
            </w:r>
            <w:r>
              <w:rPr>
                <w:rFonts w:hint="default" w:ascii="Times New Roman" w:hAnsi="Times New Roman" w:eastAsia="宋体" w:cs="Times New Roman"/>
                <w:color w:val="auto"/>
                <w:kern w:val="0"/>
                <w:sz w:val="22"/>
              </w:rPr>
              <w:t xml:space="preserve">   </w:t>
            </w:r>
            <w:r>
              <w:rPr>
                <w:rFonts w:hint="default" w:ascii="Times New Roman" w:hAnsi="Times New Roman" w:eastAsia="宋体" w:cs="Times New Roman"/>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w:t>
            </w:r>
          </w:p>
        </w:tc>
      </w:tr>
      <w:tr>
        <w:tblPrEx>
          <w:tblLayout w:type="fixed"/>
          <w:tblCellMar>
            <w:top w:w="0" w:type="dxa"/>
            <w:left w:w="108" w:type="dxa"/>
            <w:bottom w:w="0" w:type="dxa"/>
            <w:right w:w="108" w:type="dxa"/>
          </w:tblCellMar>
        </w:tblPrEx>
        <w:trPr>
          <w:trHeight w:val="402" w:hRule="atLeast"/>
        </w:trPr>
        <w:tc>
          <w:tcPr>
            <w:tcW w:w="162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32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r>
      <w:tr>
        <w:tblPrEx>
          <w:tblLayout w:type="fixed"/>
          <w:tblCellMar>
            <w:top w:w="0" w:type="dxa"/>
            <w:left w:w="108" w:type="dxa"/>
            <w:bottom w:w="0" w:type="dxa"/>
            <w:right w:w="108" w:type="dxa"/>
          </w:tblCellMar>
        </w:tblPrEx>
        <w:trPr>
          <w:trHeight w:val="402" w:hRule="atLeast"/>
        </w:trPr>
        <w:tc>
          <w:tcPr>
            <w:tcW w:w="16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21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402" w:hRule="atLeast"/>
        </w:trPr>
        <w:tc>
          <w:tcPr>
            <w:tcW w:w="162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21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Layout w:type="fixed"/>
          <w:tblCellMar>
            <w:top w:w="0" w:type="dxa"/>
            <w:left w:w="108" w:type="dxa"/>
            <w:bottom w:w="0" w:type="dxa"/>
            <w:right w:w="108" w:type="dxa"/>
          </w:tblCellMar>
        </w:tblPrEx>
        <w:trPr>
          <w:trHeight w:val="402" w:hRule="atLeast"/>
        </w:trPr>
        <w:tc>
          <w:tcPr>
            <w:tcW w:w="483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r>
      <w:tr>
        <w:tblPrEx>
          <w:tblLayout w:type="fixed"/>
          <w:tblCellMar>
            <w:top w:w="0" w:type="dxa"/>
            <w:left w:w="108" w:type="dxa"/>
            <w:bottom w:w="0" w:type="dxa"/>
            <w:right w:w="108" w:type="dxa"/>
          </w:tblCellMar>
        </w:tblPrEx>
        <w:trPr>
          <w:trHeight w:val="402" w:hRule="atLeast"/>
        </w:trPr>
        <w:tc>
          <w:tcPr>
            <w:tcW w:w="483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无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321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无　</w:t>
            </w:r>
          </w:p>
        </w:tc>
        <w:tc>
          <w:tcPr>
            <w:tcW w:w="2551" w:type="dxa"/>
            <w:gridSpan w:val="2"/>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eastAsia="仿宋_GB2312" w:cs="Times New Roman"/>
                <w:color w:val="auto"/>
                <w:kern w:val="0"/>
                <w:szCs w:val="21"/>
              </w:rPr>
              <w:t>无　</w:t>
            </w:r>
          </w:p>
        </w:tc>
        <w:tc>
          <w:tcPr>
            <w:tcW w:w="2977" w:type="dxa"/>
            <w:gridSpan w:val="2"/>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eastAsia="仿宋_GB2312" w:cs="Times New Roman"/>
                <w:color w:val="auto"/>
                <w:kern w:val="0"/>
                <w:szCs w:val="21"/>
              </w:rPr>
              <w:t>无　</w:t>
            </w:r>
          </w:p>
        </w:tc>
        <w:tc>
          <w:tcPr>
            <w:tcW w:w="3827" w:type="dxa"/>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eastAsia="仿宋_GB2312" w:cs="Times New Roman"/>
                <w:color w:val="auto"/>
                <w:kern w:val="0"/>
                <w:szCs w:val="21"/>
              </w:rPr>
              <w:t>无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p>
        </w:tc>
        <w:tc>
          <w:tcPr>
            <w:tcW w:w="321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Cs w:val="21"/>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rPr>
                <w:rFonts w:hint="default" w:ascii="Times New Roman" w:hAnsi="Times New Roman" w:cs="Times New Roman"/>
                <w:color w:val="auto"/>
              </w:rPr>
            </w:pPr>
          </w:p>
        </w:tc>
        <w:tc>
          <w:tcPr>
            <w:tcW w:w="3215" w:type="dxa"/>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rPr>
                <w:rFonts w:hint="default" w:ascii="Times New Roman" w:hAnsi="Times New Roman" w:cs="Times New Roman"/>
                <w:color w:val="auto"/>
              </w:rPr>
            </w:pPr>
          </w:p>
        </w:tc>
        <w:tc>
          <w:tcPr>
            <w:tcW w:w="3215" w:type="dxa"/>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tcPr>
          <w:p>
            <w:pPr>
              <w:rPr>
                <w:rFonts w:hint="default" w:ascii="Times New Roman" w:hAnsi="Times New Roman" w:cs="Times New Roman"/>
                <w:color w:val="auto"/>
              </w:rPr>
            </w:pPr>
          </w:p>
        </w:tc>
        <w:tc>
          <w:tcPr>
            <w:tcW w:w="3215" w:type="dxa"/>
            <w:tcBorders>
              <w:top w:val="nil"/>
              <w:left w:val="nil"/>
              <w:bottom w:val="single" w:color="auto" w:sz="4"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tcPr>
          <w:p>
            <w:pPr>
              <w:rPr>
                <w:rFonts w:hint="default" w:ascii="Times New Roman" w:hAnsi="Times New Roman" w:cs="Times New Roman"/>
                <w:color w:val="auto"/>
              </w:rPr>
            </w:pPr>
          </w:p>
        </w:tc>
        <w:tc>
          <w:tcPr>
            <w:tcW w:w="3215" w:type="dxa"/>
            <w:tcBorders>
              <w:top w:val="nil"/>
              <w:left w:val="nil"/>
              <w:bottom w:val="single" w:color="auto" w:sz="8" w:space="0"/>
              <w:right w:val="single" w:color="auto" w:sz="4" w:space="0"/>
            </w:tcBorders>
            <w:shd w:val="clear" w:color="auto" w:fill="auto"/>
          </w:tcPr>
          <w:p>
            <w:pPr>
              <w:rPr>
                <w:rFonts w:hint="default" w:ascii="Times New Roman" w:hAnsi="Times New Roman" w:cs="Times New Roman"/>
                <w:color w:val="auto"/>
              </w:rPr>
            </w:pPr>
            <w:r>
              <w:rPr>
                <w:rFonts w:hint="default" w:ascii="Times New Roman" w:hAnsi="Times New Roman" w:cs="Times New Roman"/>
                <w:color w:val="auto"/>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r>
      <w:tr>
        <w:tblPrEx>
          <w:tblLayout w:type="fixed"/>
          <w:tblCellMar>
            <w:top w:w="0" w:type="dxa"/>
            <w:left w:w="108" w:type="dxa"/>
            <w:bottom w:w="0" w:type="dxa"/>
            <w:right w:w="108" w:type="dxa"/>
          </w:tblCellMar>
        </w:tblPrEx>
        <w:trPr>
          <w:trHeight w:val="720" w:hRule="atLeast"/>
        </w:trPr>
        <w:tc>
          <w:tcPr>
            <w:tcW w:w="14190" w:type="dxa"/>
            <w:gridSpan w:val="8"/>
            <w:tcBorders>
              <w:top w:val="single" w:color="auto" w:sz="8" w:space="0"/>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注：本表反映部门本年度国有资本经营预算财政拨款支出情况。</w:t>
            </w:r>
          </w:p>
        </w:tc>
      </w:tr>
    </w:tbl>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湖南省新闻出版广电局株洲实验台没有国有资本经营预算财政拨款收入支出安排，故本表无数据。</w:t>
      </w:r>
    </w:p>
    <w:p>
      <w:pPr>
        <w:pStyle w:val="13"/>
        <w:rPr>
          <w:rFonts w:hint="default" w:ascii="Times New Roman" w:hAnsi="Times New Roman" w:eastAsia="仿宋_GB2312" w:cs="Times New Roman"/>
          <w:color w:val="auto"/>
          <w:szCs w:val="21"/>
        </w:rPr>
        <w:sectPr>
          <w:pgSz w:w="16838" w:h="11906" w:orient="landscape"/>
          <w:pgMar w:top="720" w:right="720" w:bottom="720" w:left="720" w:header="851" w:footer="992" w:gutter="0"/>
          <w:cols w:space="425" w:num="1"/>
          <w:docGrid w:type="lines" w:linePitch="312" w:charSpace="0"/>
        </w:sectPr>
      </w:pPr>
    </w:p>
    <w:p>
      <w:pPr>
        <w:pStyle w:val="13"/>
        <w:rPr>
          <w:rFonts w:hint="default" w:ascii="Times New Roman" w:hAnsi="Times New Roman" w:cs="Times New Roman"/>
          <w:color w:val="auto"/>
          <w:sz w:val="72"/>
          <w:szCs w:val="72"/>
        </w:rPr>
      </w:pPr>
    </w:p>
    <w:p>
      <w:pPr>
        <w:pStyle w:val="13"/>
        <w:rPr>
          <w:rFonts w:hint="default" w:ascii="Times New Roman" w:hAnsi="Times New Roman" w:cs="Times New Roman"/>
          <w:color w:val="auto"/>
          <w:sz w:val="72"/>
          <w:szCs w:val="72"/>
        </w:rPr>
      </w:pPr>
    </w:p>
    <w:p>
      <w:pPr>
        <w:pStyle w:val="13"/>
        <w:rPr>
          <w:rFonts w:hint="default" w:ascii="Times New Roman" w:hAnsi="Times New Roman" w:cs="Times New Roman"/>
          <w:color w:val="auto"/>
          <w:sz w:val="72"/>
          <w:szCs w:val="72"/>
        </w:rPr>
      </w:pPr>
    </w:p>
    <w:p>
      <w:pPr>
        <w:pStyle w:val="13"/>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第三部分</w:t>
      </w:r>
    </w:p>
    <w:p>
      <w:pPr>
        <w:pStyle w:val="13"/>
        <w:jc w:val="center"/>
        <w:rPr>
          <w:rFonts w:hint="default" w:ascii="Times New Roman" w:hAnsi="Times New Roman" w:cs="Times New Roman"/>
          <w:color w:val="auto"/>
          <w:sz w:val="70"/>
          <w:szCs w:val="70"/>
        </w:rPr>
      </w:pPr>
    </w:p>
    <w:p>
      <w:pPr>
        <w:pStyle w:val="13"/>
        <w:jc w:val="center"/>
        <w:rPr>
          <w:rFonts w:hint="default" w:ascii="Times New Roman" w:hAnsi="Times New Roman" w:cs="Times New Roman"/>
          <w:color w:val="auto"/>
          <w:sz w:val="70"/>
          <w:szCs w:val="70"/>
        </w:rPr>
      </w:pPr>
      <w:r>
        <w:rPr>
          <w:rFonts w:hint="default" w:ascii="Times New Roman" w:hAnsi="Times New Roman" w:cs="Times New Roman"/>
          <w:color w:val="auto"/>
          <w:sz w:val="70"/>
          <w:szCs w:val="70"/>
        </w:rPr>
        <w:t>2020年度部门决算情况说明</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cs="Times New Roman"/>
          <w:color w:val="auto"/>
          <w:sz w:val="70"/>
          <w:szCs w:val="70"/>
        </w:rPr>
        <w:br w:type="page"/>
      </w:r>
    </w:p>
    <w:p>
      <w:pPr>
        <w:pStyle w:val="13"/>
        <w:rPr>
          <w:rFonts w:hint="default" w:ascii="Times New Roman" w:hAnsi="Times New Roman" w:cs="Times New Roman" w:eastAsiaTheme="minorEastAsia"/>
          <w:color w:val="auto"/>
          <w:sz w:val="32"/>
          <w:szCs w:val="32"/>
        </w:rPr>
      </w:pP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一、收入支出决算总体情况说明</w:t>
      </w:r>
    </w:p>
    <w:p>
      <w:pPr>
        <w:pStyle w:val="13"/>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eastAsia="仿宋_GB2312" w:cs="Times New Roman"/>
          <w:color w:val="auto"/>
          <w:sz w:val="32"/>
          <w:szCs w:val="32"/>
        </w:rPr>
        <w:t>2020年度收、支总计126.98万元。与上年相比，减少了44.83万元，减少26.1%，主要是因为2020年度在编人数减少，支出减少。</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二、收入决算情况说明</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年收入合计125.86万元，其中：财政拨款收入125.86万元，占100%；上级补助收入0.00万元，占0.00%；事业收入0.00万元，占0.00%；经营收入0.00万元，占0.00%；附属单位上缴收入0.00万元，占0.00%；其他收入0.00万元，占0.00%。</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三、支出决算情况说明</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本年支出合计123.13万元，其中：基本支出114.2万元，占92.75%；项目支出8.93万元，占7.25%；上缴上级支0.00万元，占0.00%；经营支出0.00万元，占0.00%；对附属单位补助支出0.00万元，占0.00%。</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四、财政拨款收入支出决算总体情况说明</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2020年度财政拨款收、支总计126.98万元，与上年相比，减少44.83万元,减少26.1%，主要是因为2020年度在编人数减少，支出减少。</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五、一般公共预算财政拨款支出决算情况说明</w:t>
      </w:r>
    </w:p>
    <w:p>
      <w:pPr>
        <w:pStyle w:val="13"/>
        <w:ind w:firstLine="640"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（一）财政拨款支出决算总体情况</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2020年度财政拨款支出123.13万元，占本年支出合计的100%，与上年相比，财政拨款支出减少47.52万元，减少27.85%，主要是因为2020年度在编人员减少。</w:t>
      </w:r>
    </w:p>
    <w:p>
      <w:pPr>
        <w:pStyle w:val="13"/>
        <w:ind w:firstLine="480" w:firstLineChars="15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（二）财政拨款支出决算结构情况</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2020年度财政拨款支出123.13万元，主要用于以下方面：一般文化旅游体育与传媒支出117.93万元，占95.77%；社会保障和就业支出4.1万元，占3.33%;住房保障支出1.10万元，占0.89%。 </w:t>
      </w:r>
    </w:p>
    <w:p>
      <w:pPr>
        <w:pStyle w:val="13"/>
        <w:ind w:firstLine="800" w:firstLineChars="25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（三）财政拨款支出决算具体情况</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2020年度财政拨款支出年初预算数为115.61万元，支出决算数为123.13万元，完成年初预算的106.5%，其中：</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1、文化旅游体育与传媒支出（类）广播电视（款）广播（项）。</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（1）年初预算为110.41万元，支出决算为112.22万元，完成年初预算的101.64%，决算数大于年初预算数的主要原因是：年底财政追加发放综治奖金。</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（2）文化旅游体育与传媒支出（类）广播电视（款）其他广播电视支出（项）。</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rPr>
        <w:t xml:space="preserve">    年初预算为0万元，支出决算为5.71万元，完成年初预算的100%，决算数大于年初预算数的主要原因是：年中追加运维费。</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2、社会保障和就业支出（类）行政事业单位养老支出（款）机关事业单位基本养老保险缴费支出（项）。</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年初预算为4.1万元，支出决算为4.1万元，完成年初预算的100%。</w:t>
      </w:r>
    </w:p>
    <w:p>
      <w:pPr>
        <w:pStyle w:val="13"/>
        <w:numPr>
          <w:ilvl w:val="0"/>
          <w:numId w:val="4"/>
        </w:numPr>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住房保障支出（类）住房改革支出（款）住房公积金（项）。</w:t>
      </w:r>
    </w:p>
    <w:p>
      <w:pPr>
        <w:pStyle w:val="1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年初预算为1.1万元，支出决算为1.1万元，完成年初预算的100%。</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六、一般公共预算财政拨款基本支出决算情况说明</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财政拨款基本支出114.2万元，其中：人员经费66.48万元，占基本支出的58.21%,主要包括基本工资、津贴补贴、奖金、绩效工资、机关事业单位基本养老保险缴费、职业年金缴费、职工基本医疗保险缴费、公务员医疗补助缴费、其他社会保障缴费、住房公积金、对个人和家庭的补助、奖励金；公用经费47.72万元，占基本支出的41.79%，主要包括办公费、水费、电费、邮电费、物业管理费、差旅费、维修（护）费、会议费、公务接待费、劳务费、工会经费、福利费、公务用车运行维护费、其他交通费用、税金及附加费用、其他商品和服务支出。</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七、一般公共预算财政拨款三公经费支出决算情况说明</w:t>
      </w:r>
    </w:p>
    <w:p>
      <w:pPr>
        <w:pStyle w:val="13"/>
        <w:ind w:firstLine="640"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（一）“三公”经费财政拨款支出决算总体情况说明</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“三公”经费财政拨款支出预算为5万元，支出决算为3.66万元，完成预算的73.2%，其中：</w:t>
      </w:r>
    </w:p>
    <w:p>
      <w:pPr>
        <w:pStyle w:val="13"/>
        <w:ind w:firstLine="800" w:firstLineChars="25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因公出国（境）费支出预算为0.00万元，支出决算为0.00万元</w:t>
      </w:r>
      <w:r>
        <w:rPr>
          <w:rFonts w:hint="eastAsia" w:ascii="Times New Roman" w:hAnsi="Times New Roman" w:eastAsia="仿宋_GB2312" w:cs="Times New Roman"/>
          <w:color w:val="auto"/>
          <w:sz w:val="32"/>
          <w:szCs w:val="32"/>
          <w:lang w:eastAsia="zh-CN"/>
        </w:rPr>
        <w:t>，较上年无变动</w:t>
      </w:r>
      <w:r>
        <w:rPr>
          <w:rFonts w:hint="default" w:ascii="Times New Roman" w:hAnsi="Times New Roman" w:eastAsia="仿宋_GB2312" w:cs="Times New Roman"/>
          <w:color w:val="auto"/>
          <w:sz w:val="32"/>
          <w:szCs w:val="32"/>
        </w:rPr>
        <w:t>。</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公务接待费支出预算为2.00万元，支出决算为1.66万元，完成预算的83%，决算数小于预算数的主要原因是受疫情影响减少公务接待开支，与上年相比增加0.46万元，增长27.71%</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增长的主要原因是技术交流、厂家维护技术次数增加。</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务用车购置费及运行维护费支出预算为3.00万元，支出决算为2.00万元，完成预算的66.67%，决算数小于预算数的主要原因是受疫情影响减少公务出行，运行维护费用也减少，与上年相比减少1.00万元，减少33.33%,减少的主要原因是受疫情影响，公务用车及公务出行减少。</w:t>
      </w:r>
    </w:p>
    <w:p>
      <w:pPr>
        <w:pStyle w:val="13"/>
        <w:ind w:firstLine="640"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（二）“三公”经费财政拨款支出决算具体情况说明</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2020年度“三公”经费财政拨款支出决算中，公务接待费支出决算1.66万元，占45.35%,因公出国（境）费支出决算0.00万元，占0.00%,公务用车购置费及运行维护费支出决算2.00万元，占54.65%。其中：</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1、因公出国（境）费支出决算为0.00万元，全年安排因公出国（境）团组0个，累计0人次。</w:t>
      </w:r>
    </w:p>
    <w:p>
      <w:pPr>
        <w:pStyle w:val="13"/>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2、公务接待费支出决算为1.66万元，全年共接待来访团组17个、来宾80人次，主要是技术交流、厂家技术维护发生的接待支出。</w:t>
      </w:r>
    </w:p>
    <w:p>
      <w:pPr>
        <w:ind w:firstLine="640" w:firstLineChars="200"/>
        <w:rPr>
          <w:rFonts w:hint="default" w:ascii="Times New Roman" w:hAnsi="Times New Roman" w:cs="Times New Roman"/>
          <w:color w:val="auto"/>
          <w:kern w:val="0"/>
          <w:sz w:val="32"/>
          <w:szCs w:val="32"/>
        </w:rPr>
      </w:pPr>
      <w:r>
        <w:rPr>
          <w:rFonts w:hint="default" w:ascii="Times New Roman" w:hAnsi="Times New Roman" w:eastAsia="仿宋_GB2312" w:cs="Times New Roman"/>
          <w:color w:val="auto"/>
          <w:sz w:val="32"/>
          <w:szCs w:val="32"/>
        </w:rPr>
        <w:t>3、公务用车购置费及运行维护费支出决算为2.00万元，其中：公务用车购置费0.00万元，单位本级更新公务用车0辆。公务用车运行维护费2.00万元，主要是公务用车运行、保单、维修维护支出，截止2020年12月31日，我单位开支财政拨款的公务用车保有量为1辆。</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八、政府性基金预算收入支出决算情况</w:t>
      </w:r>
    </w:p>
    <w:p>
      <w:pPr>
        <w:pStyle w:val="13"/>
        <w:rPr>
          <w:rFonts w:hint="default" w:ascii="Times New Roman" w:hAnsi="Times New Roman" w:cs="Times New Roman" w:eastAsiaTheme="minorEastAsia"/>
          <w:color w:val="auto"/>
          <w:sz w:val="32"/>
          <w:szCs w:val="32"/>
        </w:rPr>
      </w:pPr>
      <w:r>
        <w:rPr>
          <w:rFonts w:hint="default" w:ascii="Times New Roman" w:hAnsi="Times New Roman" w:cs="Times New Roman" w:eastAsiaTheme="minorEastAsia"/>
          <w:color w:val="auto"/>
          <w:sz w:val="32"/>
          <w:szCs w:val="32"/>
        </w:rPr>
        <w:t xml:space="preserve">     </w:t>
      </w:r>
      <w:r>
        <w:rPr>
          <w:rFonts w:hint="default" w:ascii="Times New Roman" w:hAnsi="Times New Roman" w:eastAsia="仿宋_GB2312" w:cs="Times New Roman"/>
          <w:color w:val="auto"/>
          <w:sz w:val="32"/>
          <w:szCs w:val="32"/>
        </w:rPr>
        <w:t>本单位无政府性基金预算财政拨款收支。</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九、关于机关运行经费支出说明</w:t>
      </w:r>
    </w:p>
    <w:p>
      <w:pPr>
        <w:pStyle w:val="13"/>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eastAsia="仿宋_GB2312" w:cs="Times New Roman"/>
          <w:color w:val="auto"/>
          <w:sz w:val="32"/>
          <w:szCs w:val="32"/>
        </w:rPr>
        <w:t>本单位为全额补助公益一类事业单位，无机关运行经费。</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十、一般性支出情况</w:t>
      </w:r>
    </w:p>
    <w:p>
      <w:pPr>
        <w:pStyle w:val="13"/>
        <w:ind w:firstLine="640" w:firstLineChars="200"/>
        <w:rPr>
          <w:rFonts w:hint="default" w:ascii="Times New Roman" w:hAnsi="Times New Roman" w:eastAsia="宋体" w:cs="Times New Roman"/>
          <w:color w:val="auto"/>
          <w:sz w:val="32"/>
          <w:szCs w:val="32"/>
          <w:lang w:val="en-US" w:eastAsia="zh-CN"/>
        </w:rPr>
      </w:pPr>
      <w:r>
        <w:rPr>
          <w:rFonts w:hint="default" w:ascii="Times New Roman" w:hAnsi="Times New Roman" w:eastAsia="仿宋_GB2312" w:cs="Times New Roman"/>
          <w:color w:val="auto"/>
          <w:sz w:val="32"/>
          <w:szCs w:val="32"/>
        </w:rPr>
        <w:t>2020年本部门开支会议费0.3万元，用于召开1次会议，人数10人，内容为文明创建活动部署会；开支费用为资料打印费0.3万元。</w:t>
      </w:r>
      <w:r>
        <w:rPr>
          <w:rFonts w:hint="eastAsia" w:ascii="Times New Roman" w:hAnsi="Times New Roman" w:eastAsia="仿宋_GB2312" w:cs="Times New Roman"/>
          <w:color w:val="auto"/>
          <w:sz w:val="32"/>
          <w:szCs w:val="32"/>
          <w:lang w:val="en-US" w:eastAsia="zh-CN"/>
        </w:rPr>
        <w:t>2020年本单位未组织培训、节庆、晚会、论坛、赛事等活动，相关开支为0。</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十一、关于政府采购支出说明</w:t>
      </w:r>
    </w:p>
    <w:p>
      <w:pPr>
        <w:pStyle w:val="13"/>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eastAsia="仿宋_GB2312" w:cs="Times New Roman"/>
          <w:color w:val="auto"/>
          <w:sz w:val="32"/>
          <w:szCs w:val="32"/>
        </w:rPr>
        <w:t>本部门2020年度政府采购支出总额2.86万元，其中：政府采购货物支出2.86万元、政府采购工程支出0.00万元、政府采购服务支出0.00万元。授予中小企业合同金额2.86万元，占政府采购支出总额的100%，其中：授予小微企业合同金额0.00万元，占政府采购支出总额的0.00%。</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十二、关于国有资产占用情况说明</w:t>
      </w:r>
    </w:p>
    <w:p>
      <w:pPr>
        <w:pStyle w:val="13"/>
        <w:ind w:firstLine="640" w:firstLineChars="200"/>
        <w:rPr>
          <w:rFonts w:hint="default" w:ascii="Times New Roman" w:hAnsi="Times New Roman" w:cs="Times New Roman" w:eastAsiaTheme="minorEastAsia"/>
          <w:color w:val="auto"/>
          <w:sz w:val="32"/>
          <w:szCs w:val="32"/>
        </w:rPr>
      </w:pPr>
      <w:r>
        <w:rPr>
          <w:rFonts w:hint="default" w:ascii="Times New Roman" w:hAnsi="Times New Roman" w:eastAsia="仿宋_GB2312" w:cs="Times New Roman"/>
          <w:color w:val="auto"/>
          <w:sz w:val="32"/>
          <w:szCs w:val="32"/>
        </w:rPr>
        <w:t>截至2020年12月31日，本单位共有车辆1辆，其中，主要领导干部用车0辆，机要通信用车0辆、应急保障用车1辆、执法执勤用车0辆、特种专业技术用车0辆、其他用车0辆；单位价值50万元以上通用设备1台（套）；单位价值100万元以上专用设备0台（套）</w:t>
      </w:r>
      <w:r>
        <w:rPr>
          <w:rFonts w:hint="default" w:ascii="Times New Roman" w:hAnsi="Times New Roman" w:cs="Times New Roman" w:eastAsiaTheme="minorEastAsia"/>
          <w:color w:val="auto"/>
          <w:sz w:val="32"/>
          <w:szCs w:val="32"/>
        </w:rPr>
        <w:t>。</w:t>
      </w:r>
    </w:p>
    <w:p>
      <w:pPr>
        <w:pStyle w:val="13"/>
        <w:ind w:firstLine="640" w:firstLineChars="200"/>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十三、关于2020年度预算绩效情况的说明</w:t>
      </w:r>
    </w:p>
    <w:p>
      <w:pPr>
        <w:widowControl/>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本单位结合实际开展预算绩效管理，</w:t>
      </w:r>
      <w:r>
        <w:rPr>
          <w:rFonts w:hint="default" w:ascii="Times New Roman" w:hAnsi="Times New Roman" w:eastAsia="仿宋" w:cs="Times New Roman"/>
          <w:color w:val="auto"/>
          <w:sz w:val="32"/>
          <w:szCs w:val="32"/>
        </w:rPr>
        <w:t>我台的“四本预算”支出的绩效目标基本完成。秉承国家安全至上、坚决做到“零停播”原则，全年转播“满功率、满调制度、满时间”“零停播”，圆满完成转播广播电视节目、电台节目及广播电视信号监测、监听并干扰境外敌台广播的任务，促进社会经济文化发展，保障国家政治安全。并坚决以预算资金管理为主线，结合本台实际情况合使用资金，使资金资产合理使用及圆满完成业务工作任务。</w:t>
      </w:r>
    </w:p>
    <w:p>
      <w:pPr>
        <w:pStyle w:val="13"/>
        <w:jc w:val="both"/>
        <w:rPr>
          <w:rFonts w:hint="default" w:ascii="Times New Roman" w:hAnsi="Times New Roman" w:cs="Times New Roman"/>
          <w:color w:val="auto"/>
          <w:sz w:val="72"/>
          <w:szCs w:val="72"/>
        </w:rPr>
      </w:pPr>
    </w:p>
    <w:p>
      <w:pPr>
        <w:pStyle w:val="13"/>
        <w:jc w:val="both"/>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第四部分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名词解释</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ind w:firstLine="640" w:firstLineChars="200"/>
        <w:jc w:val="left"/>
        <w:rPr>
          <w:rFonts w:hint="default" w:ascii="Times New Roman" w:hAnsi="Times New Roman" w:cs="Times New Roman"/>
          <w:color w:val="auto"/>
          <w:kern w:val="0"/>
          <w:sz w:val="32"/>
          <w:szCs w:val="32"/>
        </w:rPr>
      </w:pPr>
    </w:p>
    <w:p>
      <w:pPr>
        <w:widowControl/>
        <w:numPr>
          <w:ilvl w:val="0"/>
          <w:numId w:val="5"/>
        </w:numPr>
        <w:spacing w:line="560" w:lineRule="exact"/>
        <w:ind w:firstLine="64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一般公共预算财政拨款收入:指省财政当年拨付的一般公共预算财政资金。</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二、基本支出:指为保障机构正常运转、完成日常工作任务所必需的开支,其内容包括人员经费和日常公用经费两部分。</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三、项目支出:指在基本支出之外,为完成特定的行政工作任务或事业发展目标所发生的支出。</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四、三公经费：是指政府部门或者事业单位人员因公出国（境）经费、公务车购置及运行费、公务接待费产生的消费。</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五、因公出国（境）费：指单位公务出国（境）的住宿费、旅费、伙食补助费、杂费、培训费等支出。</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六、公务用车购置费：指单位公务车辆购置支出，包括车辆购置税支出。</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七、公务用车运行维护费：指单位公务用车租用费、燃料费、维修费、过路过桥费、保险费、安全奖励费用等支出。</w:t>
      </w:r>
    </w:p>
    <w:p>
      <w:pPr>
        <w:widowControl/>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八、公务接待费：指单位按规定开支的各类公务接待（含 外宾接待）费用。</w:t>
      </w: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both"/>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p>
    <w:p>
      <w:pPr>
        <w:pStyle w:val="13"/>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第五部分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附件</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jc w:val="center"/>
        <w:rPr>
          <w:rFonts w:hint="default" w:ascii="Times New Roman" w:hAnsi="Times New Roman" w:eastAsia="方正小标宋_GBK" w:cs="Times New Roman"/>
          <w:color w:val="auto"/>
          <w:sz w:val="52"/>
          <w:szCs w:val="52"/>
        </w:rPr>
      </w:pPr>
    </w:p>
    <w:p>
      <w:pPr>
        <w:jc w:val="center"/>
        <w:rPr>
          <w:rFonts w:hint="default" w:ascii="Times New Roman" w:hAnsi="Times New Roman" w:eastAsia="方正小标宋_GBK" w:cs="Times New Roman"/>
          <w:color w:val="auto"/>
          <w:sz w:val="52"/>
          <w:szCs w:val="52"/>
        </w:rPr>
      </w:pPr>
    </w:p>
    <w:p>
      <w:pPr>
        <w:jc w:val="center"/>
        <w:rPr>
          <w:rFonts w:hint="default" w:ascii="Times New Roman" w:hAnsi="Times New Roman" w:eastAsia="方正小标宋_GBK" w:cs="Times New Roman"/>
          <w:color w:val="auto"/>
          <w:sz w:val="52"/>
          <w:szCs w:val="52"/>
        </w:rPr>
      </w:pPr>
    </w:p>
    <w:p>
      <w:pPr>
        <w:jc w:val="center"/>
        <w:rPr>
          <w:rFonts w:hint="default" w:ascii="Times New Roman" w:hAnsi="Times New Roman" w:eastAsia="方正小标宋_GBK" w:cs="Times New Roman"/>
          <w:color w:val="auto"/>
          <w:sz w:val="52"/>
          <w:szCs w:val="52"/>
        </w:rPr>
      </w:pPr>
      <w:r>
        <w:rPr>
          <w:rFonts w:hint="default" w:ascii="Times New Roman" w:hAnsi="Times New Roman" w:eastAsia="方正小标宋_GBK" w:cs="Times New Roman"/>
          <w:color w:val="auto"/>
          <w:sz w:val="52"/>
          <w:szCs w:val="52"/>
        </w:rPr>
        <w:t xml:space="preserve">2020年度湖南省新闻出版广电局   </w:t>
      </w:r>
    </w:p>
    <w:p>
      <w:pPr>
        <w:jc w:val="center"/>
        <w:rPr>
          <w:rFonts w:hint="default" w:ascii="Times New Roman" w:hAnsi="Times New Roman" w:eastAsia="方正小标宋_GBK" w:cs="Times New Roman"/>
          <w:color w:val="auto"/>
          <w:sz w:val="52"/>
          <w:szCs w:val="52"/>
        </w:rPr>
      </w:pPr>
      <w:r>
        <w:rPr>
          <w:rFonts w:hint="default" w:ascii="Times New Roman" w:hAnsi="Times New Roman" w:eastAsia="方正小标宋_GBK" w:cs="Times New Roman"/>
          <w:color w:val="auto"/>
          <w:sz w:val="52"/>
          <w:szCs w:val="52"/>
        </w:rPr>
        <w:t>株洲实验台整体支出</w:t>
      </w:r>
    </w:p>
    <w:p>
      <w:pPr>
        <w:jc w:val="center"/>
        <w:rPr>
          <w:rFonts w:hint="default" w:ascii="Times New Roman" w:hAnsi="Times New Roman" w:eastAsia="方正小标宋_GBK" w:cs="Times New Roman"/>
          <w:color w:val="auto"/>
          <w:sz w:val="52"/>
          <w:szCs w:val="52"/>
        </w:rPr>
      </w:pPr>
      <w:r>
        <w:rPr>
          <w:rFonts w:hint="default" w:ascii="Times New Roman" w:hAnsi="Times New Roman" w:eastAsia="方正小标宋_GBK" w:cs="Times New Roman"/>
          <w:color w:val="auto"/>
          <w:sz w:val="52"/>
          <w:szCs w:val="52"/>
        </w:rPr>
        <w:t>绩效自评报告</w:t>
      </w:r>
    </w:p>
    <w:p>
      <w:pPr>
        <w:jc w:val="center"/>
        <w:rPr>
          <w:rFonts w:hint="default" w:ascii="Times New Roman" w:hAnsi="Times New Roman" w:eastAsia="方正小标宋_GBK" w:cs="Times New Roman"/>
          <w:b/>
          <w:color w:val="auto"/>
          <w:sz w:val="52"/>
          <w:szCs w:val="5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楷体_GB2312" w:cs="Times New Roman"/>
          <w:b/>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黑体" w:cs="Times New Roman"/>
          <w:color w:val="auto"/>
          <w:sz w:val="32"/>
          <w:szCs w:val="32"/>
        </w:rPr>
      </w:pPr>
    </w:p>
    <w:p>
      <w:pPr>
        <w:spacing w:line="600" w:lineRule="exact"/>
        <w:ind w:firstLine="1600" w:firstLineChars="5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单位名称：</w:t>
      </w:r>
      <w:r>
        <w:rPr>
          <w:rFonts w:hint="default" w:ascii="Times New Roman" w:hAnsi="Times New Roman" w:eastAsia="仿宋_GB2312" w:cs="Times New Roman"/>
          <w:color w:val="auto"/>
          <w:sz w:val="32"/>
          <w:szCs w:val="32"/>
          <w:u w:val="single"/>
        </w:rPr>
        <w:t xml:space="preserve">（盖章）        </w:t>
      </w:r>
    </w:p>
    <w:p>
      <w:pPr>
        <w:spacing w:line="600" w:lineRule="exact"/>
        <w:ind w:firstLine="2560" w:firstLineChars="8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2021年 4 月 14 日</w:t>
      </w:r>
    </w:p>
    <w:p>
      <w:pPr>
        <w:jc w:val="center"/>
        <w:rPr>
          <w:rFonts w:hint="default" w:ascii="Times New Roman" w:hAnsi="Times New Roman" w:eastAsia="黑体" w:cs="Times New Roman"/>
          <w:color w:val="auto"/>
          <w:sz w:val="32"/>
          <w:szCs w:val="32"/>
        </w:rPr>
      </w:pP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（此页为封面）</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br w:type="page"/>
      </w: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一、单位基本情况</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我单位隶属于湖南省广播电视局，公益一类财政全额拨款事业单位，采用政府会计准则制度。担负转播广播电视节目、电台节目及广播电视信号监测、监听并干扰境外敌台广播的任务，促进社会经济文化发展，保障国家政治安全。截至2020年12月31日，我单位编制人数为9人，年末实有人数4人。</w:t>
      </w:r>
    </w:p>
    <w:p>
      <w:pPr>
        <w:widowControl/>
        <w:spacing w:line="6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二、一般公共预算支出情况</w:t>
      </w:r>
    </w:p>
    <w:p>
      <w:pPr>
        <w:widowControl/>
        <w:spacing w:line="600" w:lineRule="exact"/>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（一）基本支出情况</w:t>
      </w:r>
    </w:p>
    <w:p>
      <w:pPr>
        <w:spacing w:line="560" w:lineRule="exact"/>
        <w:ind w:firstLine="640" w:firstLineChars="200"/>
        <w:rPr>
          <w:rFonts w:hint="default" w:ascii="Times New Roman" w:hAnsi="Times New Roman" w:eastAsia="楷体_GB2312" w:cs="Times New Roman"/>
          <w:b/>
          <w:color w:val="auto"/>
          <w:sz w:val="32"/>
          <w:szCs w:val="32"/>
        </w:rPr>
      </w:pPr>
      <w:r>
        <w:rPr>
          <w:rFonts w:hint="default" w:ascii="Times New Roman" w:hAnsi="Times New Roman" w:eastAsia="仿宋" w:cs="Times New Roman"/>
          <w:color w:val="auto"/>
          <w:sz w:val="32"/>
          <w:szCs w:val="32"/>
        </w:rPr>
        <w:t>2020年全年基本支出114.20万元。其中工资福利支出66.16万元，商品和服务支出47.72万元，对个人和家庭补助0.32万元。</w:t>
      </w:r>
    </w:p>
    <w:p>
      <w:pPr>
        <w:widowControl/>
        <w:numPr>
          <w:ilvl w:val="0"/>
          <w:numId w:val="6"/>
        </w:numPr>
        <w:spacing w:line="600" w:lineRule="exact"/>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项目支出情况</w:t>
      </w:r>
    </w:p>
    <w:p>
      <w:pPr>
        <w:widowControl/>
        <w:spacing w:line="600" w:lineRule="exact"/>
        <w:rPr>
          <w:rFonts w:hint="default" w:ascii="Times New Roman" w:hAnsi="Times New Roman" w:eastAsia="楷体_GB2312" w:cs="Times New Roman"/>
          <w:b/>
          <w:color w:val="auto"/>
          <w:sz w:val="32"/>
          <w:szCs w:val="32"/>
        </w:rPr>
      </w:pPr>
      <w:r>
        <w:rPr>
          <w:rFonts w:hint="default" w:ascii="Times New Roman" w:hAnsi="Times New Roman" w:eastAsia="楷体_GB2312" w:cs="Times New Roman"/>
          <w:b/>
          <w:color w:val="auto"/>
          <w:sz w:val="32"/>
          <w:szCs w:val="32"/>
        </w:rPr>
        <w:t xml:space="preserve">  </w:t>
      </w:r>
      <w:r>
        <w:rPr>
          <w:rFonts w:hint="default" w:ascii="Times New Roman" w:hAnsi="Times New Roman" w:eastAsia="仿宋" w:cs="Times New Roman"/>
          <w:color w:val="auto"/>
          <w:sz w:val="32"/>
          <w:szCs w:val="32"/>
        </w:rPr>
        <w:t xml:space="preserve">  2020年全年项目支出8.93万元。主要用于办公设备购置为2.12万元，专用设备购置1.10万元，高山台站运行维修补助费5.71万元。</w:t>
      </w:r>
    </w:p>
    <w:p>
      <w:pPr>
        <w:widowControl/>
        <w:numPr>
          <w:ilvl w:val="0"/>
          <w:numId w:val="7"/>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政府性基金预算支出情况</w:t>
      </w:r>
    </w:p>
    <w:p>
      <w:pPr>
        <w:widowControl/>
        <w:spacing w:line="60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无</w:t>
      </w:r>
    </w:p>
    <w:p>
      <w:pPr>
        <w:widowControl/>
        <w:numPr>
          <w:ilvl w:val="0"/>
          <w:numId w:val="7"/>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国有资本经营预算支出情况</w:t>
      </w: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无</w:t>
      </w:r>
    </w:p>
    <w:p>
      <w:pPr>
        <w:widowControl/>
        <w:numPr>
          <w:ilvl w:val="0"/>
          <w:numId w:val="7"/>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社会保险基金预算支出情况</w:t>
      </w: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无</w:t>
      </w:r>
    </w:p>
    <w:p>
      <w:pPr>
        <w:widowControl/>
        <w:numPr>
          <w:ilvl w:val="0"/>
          <w:numId w:val="7"/>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部门整体支出绩效情况</w:t>
      </w:r>
    </w:p>
    <w:p>
      <w:pPr>
        <w:widowControl/>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 w:cs="Times New Roman"/>
          <w:color w:val="auto"/>
          <w:sz w:val="32"/>
          <w:szCs w:val="32"/>
        </w:rPr>
        <w:t>我台的“四本预算”支出的绩效目标基本完成了。秉承国家安全至上、坚决做到“零停播”原则，全年转播“满功率、满调制度、满时间”“零停播”，圆满完成转播广播电视节目、电台节目及广播电视信号监测、监听并干扰境外敌台广播的任务，促进社会经济文化发展，保障国家政治安全。并坚决以预算资金管理为主线，结合本台实际情况合使用资金，使资金资产合理使用及圆满完成业务工作任务。</w:t>
      </w: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七、存在的问题及原因分析</w:t>
      </w:r>
    </w:p>
    <w:p>
      <w:pPr>
        <w:widowControl/>
        <w:spacing w:line="60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本单位预算支出执行无偏离绩效目标情况。</w:t>
      </w:r>
    </w:p>
    <w:p>
      <w:pPr>
        <w:widowControl/>
        <w:numPr>
          <w:ilvl w:val="0"/>
          <w:numId w:val="8"/>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下一步改进措施</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今后在继续做好转播广播电视节目、电台节目及广播电视信号监测、监听并干扰境外敌台广播任务的同时，尽量实现净空任务。进一步加强财务人员对财务相关知识的学习，从做好预算为前提，合理合规使用资金，继续控制运行成本、提高管理效率、认真履职效能、做到社会效应、可持续发展能力和服务对象满意，让人民群众及时听到党和政府的路线方针政策和丰富多彩广播节目。</w:t>
      </w:r>
    </w:p>
    <w:p>
      <w:pPr>
        <w:widowControl/>
        <w:numPr>
          <w:ilvl w:val="0"/>
          <w:numId w:val="8"/>
        </w:numPr>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部门整体支出绩效自评结果拟应用和公开情况</w:t>
      </w: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 xml:space="preserve">   本单位绩效自评已公开</w:t>
      </w:r>
      <w:bookmarkStart w:id="3" w:name="_GoBack"/>
      <w:bookmarkEnd w:id="3"/>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其他需要说明的情况</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报告需要以下附件：</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1、部门整体支出绩效评价基础数据表</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2、部门整体支出绩效自评表</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3、项目支出绩效自评表（一个一级项目支出一张表）</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4、政府性基金预算支出情况表</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5、国有资本经营预算支出情况表</w:t>
      </w:r>
    </w:p>
    <w:p>
      <w:pPr>
        <w:widowControl/>
        <w:spacing w:line="600" w:lineRule="exact"/>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6、社会保险基金预算支出情况表</w:t>
      </w:r>
    </w:p>
    <w:p>
      <w:pPr>
        <w:widowControl/>
        <w:spacing w:before="156" w:beforeLines="50" w:after="156" w:afterLines="50"/>
        <w:jc w:val="left"/>
        <w:rPr>
          <w:rFonts w:hint="default" w:ascii="Times New Roman" w:hAnsi="Times New Roman" w:cs="Times New Roman"/>
          <w:color w:val="auto"/>
          <w:kern w:val="0"/>
          <w:sz w:val="32"/>
          <w:szCs w:val="32"/>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widowControl/>
        <w:spacing w:before="120" w:beforeLines="50" w:after="120" w:afterLines="50"/>
        <w:jc w:val="left"/>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color w:val="auto"/>
          <w:kern w:val="0"/>
          <w:sz w:val="32"/>
          <w:szCs w:val="32"/>
        </w:rPr>
        <w:t>附件6-1</w:t>
      </w:r>
    </w:p>
    <w:p>
      <w:pPr>
        <w:spacing w:before="120" w:beforeLines="50" w:after="120" w:afterLines="50"/>
        <w:jc w:val="center"/>
        <w:rPr>
          <w:rFonts w:hint="default" w:ascii="Times New Roman" w:hAnsi="Times New Roman" w:eastAsia="方正小标宋_GBK" w:cs="Times New Roman"/>
          <w:color w:val="auto"/>
          <w:spacing w:val="-6"/>
          <w:sz w:val="36"/>
          <w:szCs w:val="36"/>
        </w:rPr>
      </w:pPr>
      <w:r>
        <w:rPr>
          <w:rFonts w:hint="default" w:ascii="Times New Roman" w:hAnsi="Times New Roman" w:eastAsia="方正小标宋_GBK" w:cs="Times New Roman"/>
          <w:color w:val="auto"/>
          <w:sz w:val="36"/>
          <w:szCs w:val="36"/>
        </w:rPr>
        <w:t>部门整体支出</w:t>
      </w:r>
      <w:r>
        <w:rPr>
          <w:rFonts w:hint="default" w:ascii="Times New Roman" w:hAnsi="Times New Roman" w:eastAsia="方正小标宋_GBK" w:cs="Times New Roman"/>
          <w:color w:val="auto"/>
          <w:spacing w:val="-6"/>
          <w:sz w:val="36"/>
          <w:szCs w:val="36"/>
        </w:rPr>
        <w:t>绩效自评工作考核评分表</w:t>
      </w:r>
    </w:p>
    <w:tbl>
      <w:tblPr>
        <w:tblStyle w:val="10"/>
        <w:tblW w:w="9503" w:type="dxa"/>
        <w:jc w:val="center"/>
        <w:tblInd w:w="0" w:type="dxa"/>
        <w:tblLayout w:type="fixed"/>
        <w:tblCellMar>
          <w:top w:w="0" w:type="dxa"/>
          <w:left w:w="108" w:type="dxa"/>
          <w:bottom w:w="0" w:type="dxa"/>
          <w:right w:w="108" w:type="dxa"/>
        </w:tblCellMar>
      </w:tblPr>
      <w:tblGrid>
        <w:gridCol w:w="774"/>
        <w:gridCol w:w="1500"/>
        <w:gridCol w:w="6477"/>
        <w:gridCol w:w="752"/>
      </w:tblGrid>
      <w:tr>
        <w:tblPrEx>
          <w:tblLayout w:type="fixed"/>
          <w:tblCellMar>
            <w:top w:w="0" w:type="dxa"/>
            <w:left w:w="108" w:type="dxa"/>
            <w:bottom w:w="0" w:type="dxa"/>
            <w:right w:w="108" w:type="dxa"/>
          </w:tblCellMar>
        </w:tblPrEx>
        <w:trPr>
          <w:tblHeade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szCs w:val="21"/>
              </w:rPr>
              <w:t>一级指标</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szCs w:val="21"/>
              </w:rPr>
              <w:t>二级指标</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szCs w:val="21"/>
              </w:rPr>
              <w:t>评分标准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b/>
                <w:color w:val="auto"/>
                <w:szCs w:val="21"/>
              </w:rPr>
            </w:pPr>
            <w:r>
              <w:rPr>
                <w:rFonts w:hint="default" w:ascii="Times New Roman" w:hAnsi="Times New Roman" w:eastAsia="仿宋_GB2312" w:cs="Times New Roman"/>
                <w:b/>
                <w:color w:val="auto"/>
                <w:szCs w:val="21"/>
              </w:rPr>
              <w:t>评分</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布置工作</w:t>
            </w:r>
          </w:p>
          <w:p>
            <w:pPr>
              <w:spacing w:line="300" w:lineRule="exact"/>
              <w:jc w:val="center"/>
              <w:rPr>
                <w:rFonts w:hint="default" w:ascii="Times New Roman" w:hAnsi="Times New Roman" w:eastAsia="仿宋_GB2312" w:cs="Times New Roman"/>
                <w:color w:val="auto"/>
                <w:szCs w:val="21"/>
              </w:rPr>
            </w:pPr>
          </w:p>
          <w:p>
            <w:pPr>
              <w:spacing w:line="300" w:lineRule="exact"/>
              <w:jc w:val="lef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10分</w:t>
            </w: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自评通知</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（8分）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1、印发绩效自评通知的得2分，否则不得分。</w:t>
            </w:r>
          </w:p>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2、按照本规程规定，绩效自评通知包括自评范围、自评主要依据、自评主要内容、自评程序和步骤、有关要求等内容，并附有本通知要求的附件的，得6分；否则缺1项扣1分，最多扣6分。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　</w:t>
            </w:r>
            <w:r>
              <w:rPr>
                <w:rFonts w:hint="default" w:ascii="Times New Roman" w:hAnsi="Times New Roman" w:eastAsia="仿宋_GB2312" w:cs="Times New Roman"/>
                <w:color w:val="auto"/>
                <w:szCs w:val="21"/>
                <w:lang w:val="en-US" w:eastAsia="zh-CN"/>
              </w:rPr>
              <w:t>8</w:t>
            </w:r>
          </w:p>
        </w:tc>
      </w:tr>
      <w:tr>
        <w:tblPrEx>
          <w:tblLayout w:type="fixed"/>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工作小组</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成立绩效自评工作小组的得2分，否则不得分。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2</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实施评价</w:t>
            </w:r>
          </w:p>
          <w:p>
            <w:pPr>
              <w:spacing w:line="300" w:lineRule="exact"/>
              <w:jc w:val="center"/>
              <w:rPr>
                <w:rFonts w:hint="default" w:ascii="Times New Roman" w:hAnsi="Times New Roman" w:eastAsia="仿宋_GB2312" w:cs="Times New Roman"/>
                <w:color w:val="auto"/>
                <w:szCs w:val="21"/>
              </w:rPr>
            </w:pP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单位自查</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（20分）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　</w:t>
            </w:r>
            <w:r>
              <w:rPr>
                <w:rFonts w:hint="default" w:ascii="Times New Roman" w:hAnsi="Times New Roman" w:eastAsia="仿宋_GB2312" w:cs="Times New Roman"/>
                <w:color w:val="auto"/>
                <w:szCs w:val="21"/>
                <w:lang w:val="en-US" w:eastAsia="zh-CN"/>
              </w:rPr>
              <w:t>20</w:t>
            </w:r>
          </w:p>
        </w:tc>
      </w:tr>
      <w:tr>
        <w:tblPrEx>
          <w:tblLayout w:type="fixed"/>
          <w:tblCellMar>
            <w:top w:w="0" w:type="dxa"/>
            <w:left w:w="108" w:type="dxa"/>
            <w:bottom w:w="0" w:type="dxa"/>
            <w:right w:w="108" w:type="dxa"/>
          </w:tblCellMar>
        </w:tblPrEx>
        <w:trPr>
          <w:jc w:val="center"/>
        </w:trPr>
        <w:tc>
          <w:tcPr>
            <w:tcW w:w="774" w:type="dxa"/>
            <w:vMerge w:val="continue"/>
            <w:tcBorders>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p>
        </w:tc>
        <w:tc>
          <w:tcPr>
            <w:tcW w:w="1500"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提交报告</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（10分）</w:t>
            </w:r>
          </w:p>
        </w:tc>
        <w:tc>
          <w:tcPr>
            <w:tcW w:w="6477" w:type="dxa"/>
            <w:tcBorders>
              <w:top w:val="nil"/>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按时向省财政厅报送报告的得10分；每推迟一个工作日报送报告的扣1分，最多扣10分。</w:t>
            </w:r>
          </w:p>
        </w:tc>
        <w:tc>
          <w:tcPr>
            <w:tcW w:w="752" w:type="dxa"/>
            <w:tcBorders>
              <w:top w:val="nil"/>
              <w:left w:val="nil"/>
              <w:bottom w:val="single" w:color="auto" w:sz="4" w:space="0"/>
              <w:right w:val="single" w:color="auto" w:sz="4" w:space="0"/>
            </w:tcBorders>
            <w:shd w:val="clear" w:color="auto" w:fill="auto"/>
            <w:vAlign w:val="center"/>
          </w:tcPr>
          <w:p>
            <w:pPr>
              <w:spacing w:line="300" w:lineRule="exact"/>
              <w:ind w:firstLine="210" w:firstLineChars="100"/>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10</w:t>
            </w:r>
          </w:p>
        </w:tc>
      </w:tr>
      <w:tr>
        <w:tblPrEx>
          <w:tblLayout w:type="fixed"/>
          <w:tblCellMar>
            <w:top w:w="0" w:type="dxa"/>
            <w:left w:w="108" w:type="dxa"/>
            <w:bottom w:w="0" w:type="dxa"/>
            <w:right w:w="108" w:type="dxa"/>
          </w:tblCellMar>
        </w:tblPrEx>
        <w:trPr>
          <w:jc w:val="center"/>
        </w:trPr>
        <w:tc>
          <w:tcPr>
            <w:tcW w:w="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自评报告</w:t>
            </w:r>
          </w:p>
          <w:p>
            <w:pPr>
              <w:spacing w:line="300" w:lineRule="exact"/>
              <w:jc w:val="center"/>
              <w:rPr>
                <w:rFonts w:hint="default" w:ascii="Times New Roman" w:hAnsi="Times New Roman" w:eastAsia="仿宋_GB2312" w:cs="Times New Roman"/>
                <w:color w:val="auto"/>
                <w:szCs w:val="21"/>
              </w:rPr>
            </w:pP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60分</w:t>
            </w: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自评报告</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的完整性</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1、绩效自评报告正文部分内容齐全的，得8分；否则每少一个部分扣2分，最多扣8分。</w:t>
            </w:r>
          </w:p>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2、绩效自评报告附件部分内容齐全的，得7分；否则每少一个部分扣2分，最多扣7分。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15</w:t>
            </w:r>
            <w:r>
              <w:rPr>
                <w:rFonts w:hint="default" w:ascii="Times New Roman" w:hAnsi="Times New Roman" w:eastAsia="仿宋_GB2312" w:cs="Times New Roman"/>
                <w:color w:val="auto"/>
                <w:szCs w:val="21"/>
              </w:rPr>
              <w:t>　</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p>
        </w:tc>
        <w:tc>
          <w:tcPr>
            <w:tcW w:w="1500" w:type="dxa"/>
            <w:tcBorders>
              <w:top w:val="single" w:color="auto" w:sz="4" w:space="0"/>
              <w:left w:val="nil"/>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绩效自评表</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1、部门整体支出和项目支出绩效指标反映产出、效益、服务对象满意度方面的指标和预算执行率的权重符合本规程的，得2分，否则按比例扣除相应的分数。</w:t>
            </w:r>
          </w:p>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2、部门整体支出和项目支出绩效指标全部细化到三级指标的，得3分；部分细化的，酌情扣分；没有细化的，不得分。</w:t>
            </w:r>
          </w:p>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14</w:t>
            </w:r>
            <w:r>
              <w:rPr>
                <w:rFonts w:hint="default" w:ascii="Times New Roman" w:hAnsi="Times New Roman" w:eastAsia="仿宋_GB2312" w:cs="Times New Roman"/>
                <w:color w:val="auto"/>
                <w:szCs w:val="21"/>
              </w:rPr>
              <w:t>　</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绩效评价</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报告反映</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问题情况</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绩效评价发现问题详实全面的得15分，只提出资金不足问题的不得分；其他情况酌情扣分。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15</w:t>
            </w:r>
            <w:r>
              <w:rPr>
                <w:rFonts w:hint="default" w:ascii="Times New Roman" w:hAnsi="Times New Roman" w:eastAsia="仿宋_GB2312" w:cs="Times New Roman"/>
                <w:color w:val="auto"/>
                <w:szCs w:val="21"/>
              </w:rPr>
              <w:t>　</w:t>
            </w:r>
          </w:p>
        </w:tc>
      </w:tr>
      <w:tr>
        <w:tblPrEx>
          <w:tblLayout w:type="fixed"/>
          <w:tblCellMar>
            <w:top w:w="0" w:type="dxa"/>
            <w:left w:w="108" w:type="dxa"/>
            <w:bottom w:w="0" w:type="dxa"/>
            <w:right w:w="108" w:type="dxa"/>
          </w:tblCellMar>
        </w:tblPrEx>
        <w:trPr>
          <w:jc w:val="center"/>
        </w:trPr>
        <w:tc>
          <w:tcPr>
            <w:tcW w:w="7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p>
        </w:tc>
        <w:tc>
          <w:tcPr>
            <w:tcW w:w="1500"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针对问题</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提出可行性建议的情况</w:t>
            </w:r>
          </w:p>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（15分）</w:t>
            </w:r>
          </w:p>
        </w:tc>
        <w:tc>
          <w:tcPr>
            <w:tcW w:w="6477" w:type="dxa"/>
            <w:tcBorders>
              <w:top w:val="single" w:color="auto" w:sz="4" w:space="0"/>
              <w:left w:val="nil"/>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针对评价发现问题提出包含有关政策在内的可行性建议的得15分，只提出加大资金投入建议的不得分；其他情况酌情扣分。</w:t>
            </w:r>
          </w:p>
        </w:tc>
        <w:tc>
          <w:tcPr>
            <w:tcW w:w="75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lang w:val="en-US" w:eastAsia="zh-CN"/>
              </w:rPr>
              <w:t>15</w:t>
            </w:r>
            <w:r>
              <w:rPr>
                <w:rFonts w:hint="default" w:ascii="Times New Roman" w:hAnsi="Times New Roman" w:eastAsia="仿宋_GB2312" w:cs="Times New Roman"/>
                <w:color w:val="auto"/>
                <w:szCs w:val="21"/>
              </w:rPr>
              <w:t>　</w:t>
            </w:r>
          </w:p>
        </w:tc>
      </w:tr>
      <w:tr>
        <w:tblPrEx>
          <w:tblLayout w:type="fixed"/>
          <w:tblCellMar>
            <w:top w:w="0" w:type="dxa"/>
            <w:left w:w="108" w:type="dxa"/>
            <w:bottom w:w="0" w:type="dxa"/>
            <w:right w:w="108" w:type="dxa"/>
          </w:tblCellMar>
        </w:tblPrEx>
        <w:trPr>
          <w:jc w:val="center"/>
        </w:trPr>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合计</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100分</w:t>
            </w:r>
          </w:p>
        </w:tc>
        <w:tc>
          <w:tcPr>
            <w:tcW w:w="6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rPr>
            </w:pPr>
          </w:p>
        </w:tc>
        <w:tc>
          <w:tcPr>
            <w:tcW w:w="7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rPr>
              <w:t>　</w:t>
            </w:r>
            <w:r>
              <w:rPr>
                <w:rFonts w:hint="default" w:ascii="Times New Roman" w:hAnsi="Times New Roman" w:eastAsia="仿宋_GB2312" w:cs="Times New Roman"/>
                <w:color w:val="auto"/>
                <w:szCs w:val="21"/>
                <w:lang w:val="en-US" w:eastAsia="zh-CN"/>
              </w:rPr>
              <w:t>99</w:t>
            </w:r>
          </w:p>
        </w:tc>
      </w:tr>
    </w:tbl>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方正小标宋_GBK" w:cs="Times New Roman"/>
          <w:color w:val="auto"/>
          <w:kern w:val="0"/>
          <w:sz w:val="36"/>
          <w:szCs w:val="36"/>
        </w:rPr>
      </w:pPr>
    </w:p>
    <w:p>
      <w:pPr>
        <w:spacing w:after="156" w:afterLines="50" w:line="600" w:lineRule="exact"/>
        <w:jc w:val="center"/>
        <w:rPr>
          <w:rFonts w:hint="default" w:ascii="Times New Roman" w:hAnsi="Times New Roman" w:eastAsia="仿宋_GB2312" w:cs="Times New Roman"/>
          <w:color w:val="auto"/>
          <w:kern w:val="0"/>
          <w:sz w:val="24"/>
          <w:szCs w:val="24"/>
        </w:rPr>
      </w:pPr>
      <w:r>
        <w:rPr>
          <w:rFonts w:hint="default" w:ascii="Times New Roman" w:hAnsi="Times New Roman" w:eastAsia="方正小标宋_GBK" w:cs="Times New Roman"/>
          <w:color w:val="auto"/>
          <w:kern w:val="0"/>
          <w:sz w:val="36"/>
          <w:szCs w:val="36"/>
        </w:rPr>
        <w:t>2020年度部门整体支出绩效评价基础数据表</w:t>
      </w:r>
    </w:p>
    <w:tbl>
      <w:tblPr>
        <w:tblStyle w:val="10"/>
        <w:tblW w:w="9498" w:type="dxa"/>
        <w:jc w:val="center"/>
        <w:tblInd w:w="0" w:type="dxa"/>
        <w:tblLayout w:type="fixed"/>
        <w:tblCellMar>
          <w:top w:w="0" w:type="dxa"/>
          <w:left w:w="108" w:type="dxa"/>
          <w:bottom w:w="0" w:type="dxa"/>
          <w:right w:w="108" w:type="dxa"/>
        </w:tblCellMar>
      </w:tblPr>
      <w:tblGrid>
        <w:gridCol w:w="3366"/>
        <w:gridCol w:w="1192"/>
        <w:gridCol w:w="853"/>
        <w:gridCol w:w="1133"/>
        <w:gridCol w:w="1115"/>
        <w:gridCol w:w="972"/>
        <w:gridCol w:w="867"/>
      </w:tblGrid>
      <w:tr>
        <w:tblPrEx>
          <w:tblLayout w:type="fixed"/>
          <w:tblCellMar>
            <w:top w:w="0" w:type="dxa"/>
            <w:left w:w="108" w:type="dxa"/>
            <w:bottom w:w="0" w:type="dxa"/>
            <w:right w:w="108" w:type="dxa"/>
          </w:tblCellMar>
        </w:tblPrEx>
        <w:trPr>
          <w:trHeight w:val="471" w:hRule="atLeast"/>
          <w:jc w:val="center"/>
        </w:trPr>
        <w:tc>
          <w:tcPr>
            <w:tcW w:w="33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财政供养人员情况（人）</w:t>
            </w:r>
          </w:p>
        </w:tc>
        <w:tc>
          <w:tcPr>
            <w:tcW w:w="20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编制数</w:t>
            </w:r>
          </w:p>
        </w:tc>
        <w:tc>
          <w:tcPr>
            <w:tcW w:w="22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2020年实际在职人数</w:t>
            </w:r>
          </w:p>
        </w:tc>
        <w:tc>
          <w:tcPr>
            <w:tcW w:w="18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控制率</w:t>
            </w:r>
          </w:p>
        </w:tc>
      </w:tr>
      <w:tr>
        <w:tblPrEx>
          <w:tblLayout w:type="fixed"/>
          <w:tblCellMar>
            <w:top w:w="0" w:type="dxa"/>
            <w:left w:w="108" w:type="dxa"/>
            <w:bottom w:w="0" w:type="dxa"/>
            <w:right w:w="108" w:type="dxa"/>
          </w:tblCellMar>
        </w:tblPrEx>
        <w:trPr>
          <w:trHeight w:val="471" w:hRule="atLeast"/>
          <w:jc w:val="center"/>
        </w:trPr>
        <w:tc>
          <w:tcPr>
            <w:tcW w:w="33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04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9</w:t>
            </w:r>
          </w:p>
        </w:tc>
        <w:tc>
          <w:tcPr>
            <w:tcW w:w="224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4</w:t>
            </w:r>
          </w:p>
        </w:tc>
        <w:tc>
          <w:tcPr>
            <w:tcW w:w="18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44%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经费控制情况（万元）</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2019年决算数</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2020年预算数</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2020年决算数</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三公经费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4.20</w:t>
            </w:r>
            <w:r>
              <w:rPr>
                <w:rFonts w:hint="default" w:ascii="Times New Roman" w:hAnsi="Times New Roman" w:eastAsia="仿宋_GB2312" w:cs="Times New Roman"/>
                <w:color w:val="auto"/>
                <w:kern w:val="0"/>
                <w:szCs w:val="21"/>
              </w:rPr>
              <w:t>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3.72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1、公务用车购置和维护经费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3.00</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2.05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其中：公车购置</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公车运行维护</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3.00</w:t>
            </w:r>
            <w:r>
              <w:rPr>
                <w:rFonts w:hint="default" w:ascii="Times New Roman" w:hAnsi="Times New Roman" w:eastAsia="仿宋_GB2312" w:cs="Times New Roman"/>
                <w:color w:val="auto"/>
                <w:kern w:val="0"/>
                <w:szCs w:val="21"/>
              </w:rPr>
              <w:t>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2.05</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2、出国经费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3、公务接待</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1.20</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1.67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项目支出：</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33.40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1、业务工作经费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2、运行维护经费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27.69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 w:cs="Times New Roman"/>
                <w:color w:val="auto"/>
              </w:rPr>
              <w:t xml:space="preserve">   3、</w:t>
            </w:r>
            <w:r>
              <w:rPr>
                <w:rFonts w:hint="default" w:ascii="Times New Roman" w:hAnsi="Times New Roman" w:eastAsia="仿宋_GB2312" w:cs="Times New Roman"/>
                <w:color w:val="auto"/>
              </w:rPr>
              <w:t>其他文化体育与传媒支出</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5.71</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3、省级专项资金（一个专项一行）</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公用经费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43.43</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51.87</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47.72</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其中：办公经费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2.93</w:t>
            </w:r>
            <w:r>
              <w:rPr>
                <w:rFonts w:hint="default" w:ascii="Times New Roman" w:hAnsi="Times New Roman" w:eastAsia="仿宋_GB2312" w:cs="Times New Roman"/>
                <w:color w:val="auto"/>
                <w:kern w:val="0"/>
                <w:szCs w:val="21"/>
              </w:rPr>
              <w:t>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3.30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2.70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水费、电费、差旅费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22"/>
              </w:rPr>
              <w:t>9.49</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9.50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7.90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会议费、培训费</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0.50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0.30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政府采购金额</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0.00</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2.86　</w:t>
            </w:r>
          </w:p>
        </w:tc>
      </w:tr>
      <w:tr>
        <w:tblPrEx>
          <w:tblLayout w:type="fixed"/>
          <w:tblCellMar>
            <w:top w:w="0" w:type="dxa"/>
            <w:left w:w="108" w:type="dxa"/>
            <w:bottom w:w="0" w:type="dxa"/>
            <w:right w:w="108" w:type="dxa"/>
          </w:tblCellMar>
        </w:tblPrEx>
        <w:trPr>
          <w:trHeight w:val="47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部门基本支出预算调整 </w:t>
            </w:r>
          </w:p>
        </w:tc>
        <w:tc>
          <w:tcPr>
            <w:tcW w:w="20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2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c>
          <w:tcPr>
            <w:tcW w:w="18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0.00　</w:t>
            </w:r>
          </w:p>
        </w:tc>
      </w:tr>
      <w:tr>
        <w:tblPrEx>
          <w:tblLayout w:type="fixed"/>
          <w:tblCellMar>
            <w:top w:w="0" w:type="dxa"/>
            <w:left w:w="108" w:type="dxa"/>
            <w:bottom w:w="0" w:type="dxa"/>
            <w:right w:w="108" w:type="dxa"/>
          </w:tblCellMar>
        </w:tblPrEx>
        <w:trPr>
          <w:trHeight w:val="940" w:hRule="atLeast"/>
          <w:jc w:val="center"/>
        </w:trPr>
        <w:tc>
          <w:tcPr>
            <w:tcW w:w="336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楼堂馆所控制情况</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（2020年完工项目）</w:t>
            </w:r>
          </w:p>
        </w:tc>
        <w:tc>
          <w:tcPr>
            <w:tcW w:w="119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批复规模</w:t>
            </w:r>
            <w:r>
              <w:rPr>
                <w:rFonts w:hint="default" w:ascii="Times New Roman" w:hAnsi="Times New Roman" w:eastAsia="仿宋_GB2312" w:cs="Times New Roman"/>
                <w:bCs/>
                <w:color w:val="auto"/>
                <w:kern w:val="0"/>
                <w:szCs w:val="21"/>
              </w:rPr>
              <w:br w:type="textWrapping"/>
            </w:r>
            <w:r>
              <w:rPr>
                <w:rFonts w:hint="default" w:ascii="Times New Roman" w:hAnsi="Times New Roman" w:eastAsia="仿宋_GB2312" w:cs="Times New Roman"/>
                <w:bCs/>
                <w:color w:val="auto"/>
                <w:kern w:val="0"/>
                <w:szCs w:val="21"/>
              </w:rPr>
              <w:t>（</w:t>
            </w:r>
            <w:r>
              <w:rPr>
                <w:rFonts w:hint="default" w:ascii="Times New Roman" w:hAnsi="Times New Roman" w:eastAsia="宋体" w:cs="Times New Roman"/>
                <w:bCs/>
                <w:color w:val="auto"/>
                <w:kern w:val="0"/>
                <w:szCs w:val="21"/>
              </w:rPr>
              <w:t>㎡</w:t>
            </w:r>
            <w:r>
              <w:rPr>
                <w:rFonts w:hint="default" w:ascii="Times New Roman" w:hAnsi="Times New Roman" w:eastAsia="仿宋_GB2312" w:cs="Times New Roman"/>
                <w:bCs/>
                <w:color w:val="auto"/>
                <w:kern w:val="0"/>
                <w:szCs w:val="21"/>
              </w:rPr>
              <w:t>）</w:t>
            </w:r>
          </w:p>
        </w:tc>
        <w:tc>
          <w:tcPr>
            <w:tcW w:w="85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实际规模（</w:t>
            </w:r>
            <w:r>
              <w:rPr>
                <w:rFonts w:hint="default" w:ascii="Times New Roman" w:hAnsi="Times New Roman" w:eastAsia="宋体" w:cs="Times New Roman"/>
                <w:bCs/>
                <w:color w:val="auto"/>
                <w:kern w:val="0"/>
                <w:szCs w:val="21"/>
              </w:rPr>
              <w:t>㎡</w:t>
            </w:r>
            <w:r>
              <w:rPr>
                <w:rFonts w:hint="default" w:ascii="Times New Roman" w:hAnsi="Times New Roman" w:eastAsia="仿宋_GB2312" w:cs="Times New Roman"/>
                <w:bCs/>
                <w:color w:val="auto"/>
                <w:kern w:val="0"/>
                <w:szCs w:val="21"/>
              </w:rPr>
              <w:t>）</w:t>
            </w:r>
          </w:p>
        </w:tc>
        <w:tc>
          <w:tcPr>
            <w:tcW w:w="113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规模控制率</w:t>
            </w:r>
          </w:p>
        </w:tc>
        <w:tc>
          <w:tcPr>
            <w:tcW w:w="111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预算投资（万元）</w:t>
            </w:r>
          </w:p>
        </w:tc>
        <w:tc>
          <w:tcPr>
            <w:tcW w:w="97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实际投资（万元）</w:t>
            </w:r>
          </w:p>
        </w:tc>
        <w:tc>
          <w:tcPr>
            <w:tcW w:w="86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投资概算控制率</w:t>
            </w:r>
          </w:p>
        </w:tc>
      </w:tr>
      <w:tr>
        <w:tblPrEx>
          <w:tblLayout w:type="fixed"/>
          <w:tblCellMar>
            <w:top w:w="0" w:type="dxa"/>
            <w:left w:w="108" w:type="dxa"/>
            <w:bottom w:w="0" w:type="dxa"/>
            <w:right w:w="108" w:type="dxa"/>
          </w:tblCellMar>
        </w:tblPrEx>
        <w:trPr>
          <w:trHeight w:val="531" w:hRule="atLeast"/>
          <w:jc w:val="center"/>
        </w:trPr>
        <w:tc>
          <w:tcPr>
            <w:tcW w:w="336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1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0　</w:t>
            </w:r>
          </w:p>
        </w:tc>
        <w:tc>
          <w:tcPr>
            <w:tcW w:w="85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w:t>
            </w:r>
          </w:p>
        </w:tc>
        <w:tc>
          <w:tcPr>
            <w:tcW w:w="113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w:t>
            </w:r>
          </w:p>
        </w:tc>
        <w:tc>
          <w:tcPr>
            <w:tcW w:w="111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w:t>
            </w:r>
          </w:p>
        </w:tc>
        <w:tc>
          <w:tcPr>
            <w:tcW w:w="972"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w:t>
            </w:r>
          </w:p>
        </w:tc>
        <w:tc>
          <w:tcPr>
            <w:tcW w:w="86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0</w:t>
            </w:r>
          </w:p>
        </w:tc>
      </w:tr>
      <w:tr>
        <w:tblPrEx>
          <w:tblLayout w:type="fixed"/>
          <w:tblCellMar>
            <w:top w:w="0" w:type="dxa"/>
            <w:left w:w="108" w:type="dxa"/>
            <w:bottom w:w="0" w:type="dxa"/>
            <w:right w:w="108" w:type="dxa"/>
          </w:tblCellMar>
        </w:tblPrEx>
        <w:trPr>
          <w:trHeight w:val="901" w:hRule="atLeast"/>
          <w:jc w:val="center"/>
        </w:trPr>
        <w:tc>
          <w:tcPr>
            <w:tcW w:w="336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厉行节约保障措施</w:t>
            </w:r>
          </w:p>
        </w:tc>
        <w:tc>
          <w:tcPr>
            <w:tcW w:w="6132"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cs="Times New Roman"/>
                <w:color w:val="auto"/>
              </w:rPr>
              <w:t xml:space="preserve"> </w:t>
            </w:r>
            <w:r>
              <w:rPr>
                <w:rFonts w:hint="default" w:ascii="Times New Roman" w:hAnsi="Times New Roman" w:eastAsia="仿宋" w:cs="Times New Roman"/>
                <w:color w:val="auto"/>
                <w:szCs w:val="21"/>
              </w:rPr>
              <w:t>坚决以预算资金管理为主线，控制运行成本</w:t>
            </w:r>
            <w:r>
              <w:rPr>
                <w:rFonts w:hint="default" w:ascii="Times New Roman" w:hAnsi="Times New Roman" w:eastAsia="仿宋_GB2312" w:cs="Times New Roman"/>
                <w:color w:val="auto"/>
                <w:kern w:val="0"/>
                <w:szCs w:val="21"/>
              </w:rPr>
              <w:t>　</w:t>
            </w:r>
          </w:p>
        </w:tc>
      </w:tr>
    </w:tbl>
    <w:p>
      <w:pPr>
        <w:widowControl/>
        <w:jc w:val="left"/>
        <w:rPr>
          <w:rFonts w:hint="default" w:ascii="Times New Roman" w:hAnsi="Times New Roman" w:eastAsia="仿宋_GB2312" w:cs="Times New Roman"/>
          <w:color w:val="auto"/>
          <w:kern w:val="0"/>
          <w:sz w:val="22"/>
          <w:szCs w:val="24"/>
        </w:rPr>
      </w:pPr>
      <w:r>
        <w:rPr>
          <w:rFonts w:hint="default" w:ascii="Times New Roman" w:hAnsi="Times New Roman" w:eastAsia="仿宋_GB2312" w:cs="Times New Roman"/>
          <w:color w:val="auto"/>
          <w:kern w:val="0"/>
          <w:sz w:val="22"/>
          <w:szCs w:val="24"/>
        </w:rPr>
        <w:t>说明：“项目支出”需要填报基本支出以外的所有项目支出情况，“公用经费”填报基本支出中的一般商品和服务支出。</w:t>
      </w:r>
    </w:p>
    <w:p>
      <w:pPr>
        <w:widowControl/>
        <w:jc w:val="left"/>
        <w:rPr>
          <w:rFonts w:hint="default" w:ascii="Times New Roman" w:hAnsi="Times New Roman" w:eastAsia="仿宋_GB2312" w:cs="Times New Roman"/>
          <w:color w:val="auto"/>
          <w:kern w:val="0"/>
          <w:sz w:val="22"/>
          <w:szCs w:val="24"/>
        </w:rPr>
      </w:pPr>
    </w:p>
    <w:p>
      <w:pPr>
        <w:widowControl/>
        <w:spacing w:after="156" w:afterLines="5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附件3</w:t>
      </w:r>
    </w:p>
    <w:p>
      <w:pPr>
        <w:widowControl/>
        <w:spacing w:after="156" w:afterLines="50"/>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2020年度部门整体支出绩效自评表</w:t>
      </w:r>
    </w:p>
    <w:tbl>
      <w:tblPr>
        <w:tblStyle w:val="10"/>
        <w:tblW w:w="10259" w:type="dxa"/>
        <w:jc w:val="center"/>
        <w:tblInd w:w="0" w:type="dxa"/>
        <w:tblLayout w:type="fixed"/>
        <w:tblCellMar>
          <w:top w:w="0" w:type="dxa"/>
          <w:left w:w="108" w:type="dxa"/>
          <w:bottom w:w="0" w:type="dxa"/>
          <w:right w:w="108" w:type="dxa"/>
        </w:tblCellMar>
      </w:tblPr>
      <w:tblGrid>
        <w:gridCol w:w="1032"/>
        <w:gridCol w:w="1103"/>
        <w:gridCol w:w="947"/>
        <w:gridCol w:w="1384"/>
        <w:gridCol w:w="337"/>
        <w:gridCol w:w="951"/>
        <w:gridCol w:w="984"/>
        <w:gridCol w:w="776"/>
        <w:gridCol w:w="887"/>
        <w:gridCol w:w="1858"/>
      </w:tblGrid>
      <w:tr>
        <w:tblPrEx>
          <w:tblLayout w:type="fixed"/>
          <w:tblCellMar>
            <w:top w:w="0" w:type="dxa"/>
            <w:left w:w="108" w:type="dxa"/>
            <w:bottom w:w="0" w:type="dxa"/>
            <w:right w:w="108" w:type="dxa"/>
          </w:tblCellMar>
        </w:tblPrEx>
        <w:trPr>
          <w:trHeight w:val="911" w:hRule="atLeast"/>
          <w:jc w:val="center"/>
        </w:trPr>
        <w:tc>
          <w:tcPr>
            <w:tcW w:w="10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省级预算部门名称</w:t>
            </w:r>
          </w:p>
        </w:tc>
        <w:tc>
          <w:tcPr>
            <w:tcW w:w="9227"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湖南省新闻出版广电局株洲实验台　</w:t>
            </w:r>
          </w:p>
        </w:tc>
      </w:tr>
      <w:tr>
        <w:tblPrEx>
          <w:tblLayout w:type="fixed"/>
          <w:tblCellMar>
            <w:top w:w="0" w:type="dxa"/>
            <w:left w:w="108" w:type="dxa"/>
            <w:bottom w:w="0" w:type="dxa"/>
            <w:right w:w="108" w:type="dxa"/>
          </w:tblCellMar>
        </w:tblPrEx>
        <w:trPr>
          <w:trHeight w:val="611" w:hRule="atLeast"/>
          <w:jc w:val="center"/>
        </w:trPr>
        <w:tc>
          <w:tcPr>
            <w:tcW w:w="1032"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年度预</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算申请</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（万元）</w:t>
            </w:r>
          </w:p>
        </w:tc>
        <w:tc>
          <w:tcPr>
            <w:tcW w:w="205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年初</w:t>
            </w:r>
          </w:p>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预算数</w:t>
            </w:r>
          </w:p>
        </w:tc>
        <w:tc>
          <w:tcPr>
            <w:tcW w:w="128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全年预算数</w:t>
            </w:r>
          </w:p>
        </w:tc>
        <w:tc>
          <w:tcPr>
            <w:tcW w:w="984"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全年执行数</w:t>
            </w:r>
          </w:p>
        </w:tc>
        <w:tc>
          <w:tcPr>
            <w:tcW w:w="7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分值</w:t>
            </w:r>
          </w:p>
        </w:tc>
        <w:tc>
          <w:tcPr>
            <w:tcW w:w="887"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执行率</w:t>
            </w:r>
          </w:p>
        </w:tc>
        <w:tc>
          <w:tcPr>
            <w:tcW w:w="1858"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得分</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top w:val="nil"/>
              <w:left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2050"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年度资金总额</w:t>
            </w:r>
          </w:p>
        </w:tc>
        <w:tc>
          <w:tcPr>
            <w:tcW w:w="1384"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114.49</w:t>
            </w:r>
          </w:p>
        </w:tc>
        <w:tc>
          <w:tcPr>
            <w:tcW w:w="1288" w:type="dxa"/>
            <w:gridSpan w:val="2"/>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125.86</w:t>
            </w:r>
          </w:p>
        </w:tc>
        <w:tc>
          <w:tcPr>
            <w:tcW w:w="984"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123.13</w:t>
            </w:r>
          </w:p>
        </w:tc>
        <w:tc>
          <w:tcPr>
            <w:tcW w:w="776"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w:t>
            </w:r>
          </w:p>
        </w:tc>
        <w:tc>
          <w:tcPr>
            <w:tcW w:w="887"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97.83%</w:t>
            </w:r>
          </w:p>
        </w:tc>
        <w:tc>
          <w:tcPr>
            <w:tcW w:w="1858" w:type="dxa"/>
            <w:tcBorders>
              <w:top w:val="nil"/>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9.78</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按收入性质分：</w:t>
            </w:r>
          </w:p>
        </w:tc>
        <w:tc>
          <w:tcPr>
            <w:tcW w:w="4505"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按支出性质分：</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  一般公共预算：125.86</w:t>
            </w:r>
          </w:p>
        </w:tc>
        <w:tc>
          <w:tcPr>
            <w:tcW w:w="4505"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其中：基本支出：114.20</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政府性基金拨款：0</w:t>
            </w:r>
          </w:p>
        </w:tc>
        <w:tc>
          <w:tcPr>
            <w:tcW w:w="4505"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项目支出：8.93</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纳入专户管理的非税收入拨款：0</w:t>
            </w:r>
          </w:p>
        </w:tc>
        <w:tc>
          <w:tcPr>
            <w:tcW w:w="4505"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其他资金：0</w:t>
            </w:r>
          </w:p>
        </w:tc>
        <w:tc>
          <w:tcPr>
            <w:tcW w:w="4505"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312" w:hRule="atLeast"/>
          <w:jc w:val="center"/>
        </w:trPr>
        <w:tc>
          <w:tcPr>
            <w:tcW w:w="103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年度总体目标</w:t>
            </w:r>
          </w:p>
        </w:tc>
        <w:tc>
          <w:tcPr>
            <w:tcW w:w="4722"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预期目标</w:t>
            </w:r>
          </w:p>
        </w:tc>
        <w:tc>
          <w:tcPr>
            <w:tcW w:w="45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实际完成情况　</w:t>
            </w:r>
          </w:p>
        </w:tc>
      </w:tr>
      <w:tr>
        <w:tblPrEx>
          <w:tblLayout w:type="fixed"/>
          <w:tblCellMar>
            <w:top w:w="0" w:type="dxa"/>
            <w:left w:w="108" w:type="dxa"/>
            <w:bottom w:w="0" w:type="dxa"/>
            <w:right w:w="108" w:type="dxa"/>
          </w:tblCellMar>
        </w:tblPrEx>
        <w:trPr>
          <w:trHeight w:val="312" w:hRule="atLeast"/>
          <w:jc w:val="center"/>
        </w:trPr>
        <w:tc>
          <w:tcPr>
            <w:tcW w:w="103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722"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450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911" w:hRule="atLeast"/>
          <w:jc w:val="center"/>
        </w:trPr>
        <w:tc>
          <w:tcPr>
            <w:tcW w:w="1032" w:type="dxa"/>
            <w:vMerge w:val="restart"/>
            <w:tcBorders>
              <w:top w:val="nil"/>
              <w:left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绩</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标</w:t>
            </w:r>
          </w:p>
        </w:tc>
        <w:tc>
          <w:tcPr>
            <w:tcW w:w="110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一级指标</w:t>
            </w:r>
          </w:p>
        </w:tc>
        <w:tc>
          <w:tcPr>
            <w:tcW w:w="94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三级指标</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指标值</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实际完成值</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分值</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得分</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偏差原因</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分析及</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改进措施</w:t>
            </w:r>
          </w:p>
        </w:tc>
      </w:tr>
      <w:tr>
        <w:tblPrEx>
          <w:tblLayout w:type="fixed"/>
          <w:tblCellMar>
            <w:top w:w="0" w:type="dxa"/>
            <w:left w:w="108" w:type="dxa"/>
            <w:bottom w:w="0" w:type="dxa"/>
            <w:right w:w="108" w:type="dxa"/>
          </w:tblCellMar>
        </w:tblPrEx>
        <w:trPr>
          <w:trHeight w:val="9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restart"/>
            <w:tcBorders>
              <w:top w:val="nil"/>
              <w:left w:val="nil"/>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产出指标</w:t>
            </w: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(50分)</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72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满功率度</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746"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left w:val="nil"/>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vMerge w:val="restart"/>
            <w:tcBorders>
              <w:top w:val="single" w:color="auto" w:sz="4" w:space="0"/>
              <w:left w:val="nil"/>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721" w:type="dxa"/>
            <w:gridSpan w:val="2"/>
            <w:tcBorders>
              <w:top w:val="single" w:color="auto" w:sz="4" w:space="0"/>
              <w:left w:val="nil"/>
              <w:bottom w:val="single" w:color="auto" w:sz="4" w:space="0"/>
              <w:right w:val="single" w:color="auto" w:sz="4" w:space="0"/>
            </w:tcBorders>
            <w:shd w:val="clear" w:color="auto" w:fill="auto"/>
            <w:vAlign w:val="bottom"/>
          </w:tcPr>
          <w:p>
            <w:pPr>
              <w:spacing w:line="196" w:lineRule="exact"/>
              <w:ind w:left="100"/>
              <w:rPr>
                <w:rFonts w:hint="default" w:ascii="Times New Roman" w:hAnsi="Times New Roman" w:eastAsia="宋体" w:cs="Times New Roman"/>
                <w:color w:val="auto"/>
              </w:rPr>
            </w:pPr>
            <w:r>
              <w:rPr>
                <w:rFonts w:hint="default" w:ascii="Times New Roman" w:hAnsi="Times New Roman" w:eastAsia="宋体" w:cs="Times New Roman"/>
                <w:color w:val="auto"/>
              </w:rPr>
              <w:t>指标 1：发射机及附属设备完好率</w:t>
            </w:r>
          </w:p>
        </w:tc>
        <w:tc>
          <w:tcPr>
            <w:tcW w:w="951" w:type="dxa"/>
            <w:tcBorders>
              <w:top w:val="single" w:color="auto" w:sz="4" w:space="0"/>
              <w:left w:val="nil"/>
              <w:bottom w:val="single" w:color="auto" w:sz="4" w:space="0"/>
              <w:right w:val="single" w:color="auto" w:sz="4" w:space="0"/>
            </w:tcBorders>
            <w:shd w:val="clear" w:color="auto" w:fill="auto"/>
            <w:vAlign w:val="center"/>
          </w:tcPr>
          <w:p>
            <w:pPr>
              <w:spacing w:line="0" w:lineRule="atLeast"/>
              <w:jc w:val="center"/>
              <w:rPr>
                <w:rFonts w:hint="default" w:ascii="Times New Roman" w:hAnsi="Times New Roman" w:eastAsia="Times New Roman" w:cs="Times New Roman"/>
                <w:color w:val="auto"/>
                <w:sz w:val="17"/>
              </w:rPr>
            </w:pPr>
            <w:r>
              <w:rPr>
                <w:rFonts w:hint="default" w:ascii="Times New Roman" w:hAnsi="Times New Roman" w:eastAsia="Times New Roman" w:cs="Times New Roman"/>
                <w:color w:val="auto"/>
                <w:szCs w:val="21"/>
              </w:rPr>
              <w:t>100%</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858" w:type="dxa"/>
            <w:tcBorders>
              <w:top w:val="nil"/>
              <w:left w:val="nil"/>
              <w:bottom w:val="single" w:color="auto" w:sz="4" w:space="0"/>
              <w:right w:val="single" w:color="auto" w:sz="4" w:space="0"/>
            </w:tcBorders>
            <w:shd w:val="clear" w:color="auto" w:fill="auto"/>
            <w:vAlign w:val="bottom"/>
          </w:tcPr>
          <w:p>
            <w:pPr>
              <w:spacing w:line="0" w:lineRule="atLeas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left w:val="nil"/>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vMerge w:val="continue"/>
            <w:tcBorders>
              <w:left w:val="nil"/>
              <w:bottom w:val="single" w:color="auto" w:sz="4" w:space="0"/>
              <w:right w:val="single" w:color="auto" w:sz="4" w:space="0"/>
            </w:tcBorders>
            <w:shd w:val="clear" w:color="auto" w:fill="auto"/>
            <w:vAlign w:val="center"/>
          </w:tcPr>
          <w:p>
            <w:pPr>
              <w:spacing w:line="240" w:lineRule="exact"/>
              <w:jc w:val="center"/>
              <w:rPr>
                <w:rFonts w:hint="default" w:ascii="Times New Roman" w:hAnsi="Times New Roman" w:eastAsia="仿宋_GB2312" w:cs="Times New Roman"/>
                <w:color w:val="auto"/>
                <w:kern w:val="0"/>
                <w:szCs w:val="21"/>
              </w:rPr>
            </w:pP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指标2：</w:t>
            </w:r>
            <w:r>
              <w:rPr>
                <w:rFonts w:hint="default" w:ascii="Times New Roman" w:hAnsi="Times New Roman" w:eastAsia="宋体" w:cs="Times New Roman"/>
                <w:color w:val="auto"/>
              </w:rPr>
              <w:t>：满调制度</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left w:val="nil"/>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指标1：满时间度</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left w:val="nil"/>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rPr>
              <w:t>维护费支出率</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ind w:firstLine="210" w:firstLineChars="1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p>
            <w:pPr>
              <w:widowControl/>
              <w:spacing w:line="240" w:lineRule="exact"/>
              <w:jc w:val="left"/>
              <w:rPr>
                <w:rFonts w:hint="default" w:ascii="Times New Roman" w:hAnsi="Times New Roman" w:eastAsia="仿宋_GB2312" w:cs="Times New Roman"/>
                <w:color w:val="auto"/>
                <w:kern w:val="0"/>
                <w:szCs w:val="21"/>
              </w:rPr>
            </w:pP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（30分）</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rPr>
              <w:t>资金到位率</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群众免费收听率</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6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对美好乡村建设帮助度</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911" w:hRule="atLeast"/>
          <w:jc w:val="center"/>
        </w:trPr>
        <w:tc>
          <w:tcPr>
            <w:tcW w:w="1032"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绩</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标</w:t>
            </w: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7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中央广播电视节目覆盖率</w:t>
            </w: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911" w:hRule="atLeast"/>
          <w:jc w:val="center"/>
        </w:trPr>
        <w:tc>
          <w:tcPr>
            <w:tcW w:w="1032" w:type="dxa"/>
            <w:vMerge w:val="continue"/>
            <w:tcBorders>
              <w:left w:val="single" w:color="auto" w:sz="4" w:space="0"/>
              <w:right w:val="single" w:color="auto" w:sz="4" w:space="0"/>
            </w:tcBorders>
            <w:shd w:val="clear" w:color="auto" w:fill="auto"/>
            <w:vAlign w:val="center"/>
          </w:tcPr>
          <w:p>
            <w:pPr>
              <w:spacing w:line="240" w:lineRule="exact"/>
              <w:jc w:val="left"/>
              <w:rPr>
                <w:rFonts w:hint="default" w:ascii="Times New Roman" w:hAnsi="Times New Roman" w:eastAsia="仿宋_GB2312" w:cs="Times New Roman"/>
                <w:color w:val="auto"/>
                <w:kern w:val="0"/>
                <w:szCs w:val="21"/>
              </w:rPr>
            </w:pPr>
          </w:p>
        </w:tc>
        <w:tc>
          <w:tcPr>
            <w:tcW w:w="11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（10分）</w:t>
            </w:r>
          </w:p>
        </w:tc>
        <w:tc>
          <w:tcPr>
            <w:tcW w:w="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服务对象满意度指标</w:t>
            </w:r>
          </w:p>
        </w:tc>
        <w:tc>
          <w:tcPr>
            <w:tcW w:w="172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群众免费收听收看满意率</w:t>
            </w:r>
          </w:p>
        </w:tc>
        <w:tc>
          <w:tcPr>
            <w:tcW w:w="95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98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362" w:hRule="atLeast"/>
          <w:jc w:val="center"/>
        </w:trPr>
        <w:tc>
          <w:tcPr>
            <w:tcW w:w="6738"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总分</w:t>
            </w:r>
          </w:p>
        </w:tc>
        <w:tc>
          <w:tcPr>
            <w:tcW w:w="77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887"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85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widowControl/>
        <w:spacing w:line="240" w:lineRule="exact"/>
        <w:jc w:val="left"/>
        <w:rPr>
          <w:rFonts w:hint="default" w:ascii="Times New Roman" w:hAnsi="Times New Roman" w:eastAsia="仿宋_GB2312" w:cs="Times New Roman"/>
          <w:color w:val="auto"/>
          <w:kern w:val="0"/>
          <w:szCs w:val="21"/>
        </w:rPr>
      </w:pPr>
    </w:p>
    <w:p>
      <w:pPr>
        <w:widowControl/>
        <w:spacing w:line="600" w:lineRule="exact"/>
        <w:jc w:val="left"/>
        <w:rPr>
          <w:rFonts w:hint="default" w:ascii="Times New Roman" w:hAnsi="Times New Roman" w:eastAsia="黑体" w:cs="Times New Roman"/>
          <w:color w:val="auto"/>
          <w:sz w:val="32"/>
          <w:szCs w:val="32"/>
        </w:rPr>
      </w:pP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widowControl/>
        <w:spacing w:line="600" w:lineRule="exact"/>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2020年度项目支出绩效自评表</w:t>
      </w:r>
    </w:p>
    <w:tbl>
      <w:tblPr>
        <w:tblStyle w:val="10"/>
        <w:tblW w:w="9851" w:type="dxa"/>
        <w:jc w:val="center"/>
        <w:tblInd w:w="0" w:type="dxa"/>
        <w:tblLayout w:type="fixed"/>
        <w:tblCellMar>
          <w:top w:w="0" w:type="dxa"/>
          <w:left w:w="108" w:type="dxa"/>
          <w:bottom w:w="0" w:type="dxa"/>
          <w:right w:w="108" w:type="dxa"/>
        </w:tblCellMar>
      </w:tblPr>
      <w:tblGrid>
        <w:gridCol w:w="889"/>
        <w:gridCol w:w="1028"/>
        <w:gridCol w:w="1146"/>
        <w:gridCol w:w="1401"/>
        <w:gridCol w:w="1134"/>
        <w:gridCol w:w="1134"/>
        <w:gridCol w:w="828"/>
        <w:gridCol w:w="873"/>
        <w:gridCol w:w="1418"/>
      </w:tblGrid>
      <w:tr>
        <w:tblPrEx>
          <w:tblLayout w:type="fixed"/>
          <w:tblCellMar>
            <w:top w:w="0" w:type="dxa"/>
            <w:left w:w="108" w:type="dxa"/>
            <w:bottom w:w="0" w:type="dxa"/>
            <w:right w:w="108" w:type="dxa"/>
          </w:tblCellMar>
        </w:tblPrEx>
        <w:trPr>
          <w:jc w:val="center"/>
        </w:trPr>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w:t>
            </w:r>
          </w:p>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出名称</w:t>
            </w:r>
          </w:p>
        </w:tc>
        <w:tc>
          <w:tcPr>
            <w:tcW w:w="8962"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台站运行维护费　</w:t>
            </w:r>
          </w:p>
        </w:tc>
      </w:tr>
      <w:tr>
        <w:tblPrEx>
          <w:tblLayout w:type="fixed"/>
          <w:tblCellMar>
            <w:top w:w="0" w:type="dxa"/>
            <w:left w:w="108" w:type="dxa"/>
            <w:bottom w:w="0" w:type="dxa"/>
            <w:right w:w="108" w:type="dxa"/>
          </w:tblCellMar>
        </w:tblPrEx>
        <w:trPr>
          <w:jc w:val="center"/>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主管部门</w:t>
            </w:r>
          </w:p>
        </w:tc>
        <w:tc>
          <w:tcPr>
            <w:tcW w:w="47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湖南省广播电视局</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湖南省新闻出版广电局株洲实验台</w:t>
            </w:r>
          </w:p>
        </w:tc>
      </w:tr>
      <w:tr>
        <w:tblPrEx>
          <w:tblLayout w:type="fixed"/>
          <w:tblCellMar>
            <w:top w:w="0" w:type="dxa"/>
            <w:left w:w="108" w:type="dxa"/>
            <w:bottom w:w="0" w:type="dxa"/>
            <w:right w:w="108" w:type="dxa"/>
          </w:tblCellMar>
        </w:tblPrEx>
        <w:trPr>
          <w:jc w:val="center"/>
        </w:trPr>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项目资金</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（万元）</w:t>
            </w:r>
          </w:p>
        </w:tc>
        <w:tc>
          <w:tcPr>
            <w:tcW w:w="217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0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年初</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全年</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执行数</w:t>
            </w:r>
          </w:p>
        </w:tc>
        <w:tc>
          <w:tcPr>
            <w:tcW w:w="82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分值</w:t>
            </w:r>
          </w:p>
        </w:tc>
        <w:tc>
          <w:tcPr>
            <w:tcW w:w="87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执行率</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得分</w:t>
            </w:r>
          </w:p>
        </w:tc>
      </w:tr>
      <w:tr>
        <w:tblPrEx>
          <w:tblLayout w:type="fixed"/>
          <w:tblCellMar>
            <w:top w:w="0" w:type="dxa"/>
            <w:left w:w="108" w:type="dxa"/>
            <w:bottom w:w="0" w:type="dxa"/>
            <w:right w:w="108" w:type="dxa"/>
          </w:tblCellMar>
        </w:tblPrEx>
        <w:trPr>
          <w:jc w:val="center"/>
        </w:trPr>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年度资金总额　</w:t>
            </w:r>
          </w:p>
        </w:tc>
        <w:tc>
          <w:tcPr>
            <w:tcW w:w="1401"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8.93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8.93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8.93</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r>
      <w:tr>
        <w:tblPrEx>
          <w:tblLayout w:type="fixed"/>
          <w:tblCellMar>
            <w:top w:w="0" w:type="dxa"/>
            <w:left w:w="108" w:type="dxa"/>
            <w:bottom w:w="0" w:type="dxa"/>
            <w:right w:w="108" w:type="dxa"/>
          </w:tblCellMar>
        </w:tblPrEx>
        <w:trPr>
          <w:jc w:val="center"/>
        </w:trPr>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其中：当年财政拨款　</w:t>
            </w:r>
          </w:p>
        </w:tc>
        <w:tc>
          <w:tcPr>
            <w:tcW w:w="14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8.93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8.93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8.93</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r>
      <w:tr>
        <w:tblPrEx>
          <w:tblLayout w:type="fixed"/>
          <w:tblCellMar>
            <w:top w:w="0" w:type="dxa"/>
            <w:left w:w="108" w:type="dxa"/>
            <w:bottom w:w="0" w:type="dxa"/>
            <w:right w:w="108" w:type="dxa"/>
          </w:tblCellMar>
        </w:tblPrEx>
        <w:trPr>
          <w:jc w:val="center"/>
        </w:trPr>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上年结转资金　</w:t>
            </w:r>
          </w:p>
        </w:tc>
        <w:tc>
          <w:tcPr>
            <w:tcW w:w="14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7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其他资金</w:t>
            </w:r>
          </w:p>
        </w:tc>
        <w:tc>
          <w:tcPr>
            <w:tcW w:w="140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年度总体目标</w:t>
            </w:r>
          </w:p>
        </w:tc>
        <w:tc>
          <w:tcPr>
            <w:tcW w:w="470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预期目标</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实际完成情况　</w:t>
            </w:r>
          </w:p>
        </w:tc>
      </w:tr>
      <w:tr>
        <w:tblPrEx>
          <w:tblLayout w:type="fixed"/>
          <w:tblCellMar>
            <w:top w:w="0" w:type="dxa"/>
            <w:left w:w="108" w:type="dxa"/>
            <w:bottom w:w="0" w:type="dxa"/>
            <w:right w:w="108" w:type="dxa"/>
          </w:tblCellMar>
        </w:tblPrEx>
        <w:trPr>
          <w:jc w:val="center"/>
        </w:trPr>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470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sz w:val="18"/>
                <w:szCs w:val="18"/>
              </w:rPr>
              <w:t>转播广播电视节目，促进社会经济文化发展。转播广播电台节目及广播电视信号监测、监听并干扰境外敌台广播</w:t>
            </w:r>
            <w:r>
              <w:rPr>
                <w:rFonts w:hint="default" w:ascii="Times New Roman" w:hAnsi="Times New Roman" w:eastAsia="仿宋_GB2312" w:cs="Times New Roman"/>
                <w:color w:val="auto"/>
                <w:kern w:val="0"/>
                <w:szCs w:val="21"/>
              </w:rPr>
              <w:t>　　</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Times New Roman" w:cs="Times New Roman"/>
                <w:color w:val="auto"/>
                <w:sz w:val="18"/>
                <w:szCs w:val="18"/>
              </w:rPr>
              <w:t>按规定完整转播好中央</w:t>
            </w:r>
            <w:r>
              <w:rPr>
                <w:rFonts w:hint="default" w:ascii="Times New Roman" w:hAnsi="Times New Roman" w:eastAsia="宋体" w:cs="Times New Roman"/>
                <w:color w:val="auto"/>
                <w:sz w:val="18"/>
                <w:szCs w:val="18"/>
              </w:rPr>
              <w:t>、湖南</w:t>
            </w:r>
            <w:r>
              <w:rPr>
                <w:rFonts w:hint="default" w:ascii="Times New Roman" w:hAnsi="Times New Roman" w:eastAsia="Times New Roman" w:cs="Times New Roman"/>
                <w:color w:val="auto"/>
                <w:sz w:val="18"/>
                <w:szCs w:val="18"/>
              </w:rPr>
              <w:t>广播节目，做到“满功率、满调制度、满时间”播出。</w:t>
            </w:r>
          </w:p>
        </w:tc>
      </w:tr>
      <w:tr>
        <w:tblPrEx>
          <w:tblLayout w:type="fixed"/>
          <w:tblCellMar>
            <w:top w:w="0" w:type="dxa"/>
            <w:left w:w="108" w:type="dxa"/>
            <w:bottom w:w="0" w:type="dxa"/>
            <w:right w:w="108" w:type="dxa"/>
          </w:tblCellMar>
        </w:tblPrEx>
        <w:trPr>
          <w:jc w:val="center"/>
        </w:trPr>
        <w:tc>
          <w:tcPr>
            <w:tcW w:w="889"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绩</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标</w:t>
            </w:r>
          </w:p>
        </w:tc>
        <w:tc>
          <w:tcPr>
            <w:tcW w:w="10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一级指标</w:t>
            </w:r>
          </w:p>
        </w:tc>
        <w:tc>
          <w:tcPr>
            <w:tcW w:w="114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三级指标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指标值</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完成值</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分值</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得分</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偏差原因</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分析及</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改进措施</w:t>
            </w:r>
          </w:p>
        </w:tc>
      </w:tr>
      <w:tr>
        <w:tblPrEx>
          <w:tblLayout w:type="fixed"/>
          <w:tblCellMar>
            <w:top w:w="0" w:type="dxa"/>
            <w:left w:w="108" w:type="dxa"/>
            <w:bottom w:w="0" w:type="dxa"/>
            <w:right w:w="108" w:type="dxa"/>
          </w:tblCellMar>
        </w:tblPrEx>
        <w:trPr>
          <w:trHeight w:val="579" w:hRule="atLeast"/>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产出指标</w:t>
            </w:r>
          </w:p>
          <w:p>
            <w:pPr>
              <w:widowControl/>
              <w:jc w:val="center"/>
              <w:rPr>
                <w:rFonts w:hint="default" w:ascii="Times New Roman" w:hAnsi="Times New Roman" w:eastAsia="仿宋_GB2312" w:cs="Times New Roman"/>
                <w:color w:val="auto"/>
                <w:kern w:val="0"/>
                <w:szCs w:val="21"/>
              </w:rPr>
            </w:pP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(50分)</w:t>
            </w:r>
          </w:p>
        </w:tc>
        <w:tc>
          <w:tcPr>
            <w:tcW w:w="114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401" w:type="dxa"/>
            <w:tcBorders>
              <w:top w:val="nil"/>
              <w:left w:val="nil"/>
              <w:bottom w:val="single" w:color="auto" w:sz="4" w:space="0"/>
              <w:right w:val="single" w:color="auto" w:sz="4" w:space="0"/>
            </w:tcBorders>
            <w:shd w:val="clear" w:color="auto" w:fill="auto"/>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满功率度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trHeight w:val="739" w:hRule="atLeast"/>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401" w:type="dxa"/>
            <w:tcBorders>
              <w:top w:val="nil"/>
              <w:left w:val="nil"/>
              <w:bottom w:val="single" w:color="auto" w:sz="4" w:space="0"/>
              <w:right w:val="single" w:color="auto" w:sz="4" w:space="0"/>
            </w:tcBorders>
            <w:shd w:val="clear" w:color="auto" w:fill="auto"/>
            <w:vAlign w:val="bottom"/>
          </w:tcPr>
          <w:p>
            <w:pPr>
              <w:spacing w:line="196" w:lineRule="exact"/>
              <w:ind w:left="100"/>
              <w:rPr>
                <w:rFonts w:hint="default" w:ascii="Times New Roman" w:hAnsi="Times New Roman" w:eastAsia="仿宋_GB2312" w:cs="Times New Roman"/>
                <w:color w:val="auto"/>
                <w:kern w:val="0"/>
                <w:szCs w:val="21"/>
              </w:rPr>
            </w:pPr>
            <w:r>
              <w:rPr>
                <w:rFonts w:hint="default" w:ascii="Times New Roman" w:hAnsi="Times New Roman" w:eastAsia="宋体" w:cs="Times New Roman"/>
                <w:color w:val="auto"/>
              </w:rPr>
              <w:t>指标 1：发射机及附属设备完好率</w:t>
            </w:r>
          </w:p>
        </w:tc>
        <w:tc>
          <w:tcPr>
            <w:tcW w:w="1134" w:type="dxa"/>
            <w:tcBorders>
              <w:top w:val="nil"/>
              <w:left w:val="nil"/>
              <w:bottom w:val="single" w:color="auto" w:sz="4" w:space="0"/>
              <w:right w:val="single" w:color="auto" w:sz="4" w:space="0"/>
            </w:tcBorders>
            <w:shd w:val="clear" w:color="auto" w:fill="auto"/>
            <w:vAlign w:val="center"/>
          </w:tcPr>
          <w:p>
            <w:pPr>
              <w:spacing w:line="0" w:lineRule="atLeast"/>
              <w:jc w:val="center"/>
              <w:rPr>
                <w:rFonts w:hint="default" w:ascii="Times New Roman" w:hAnsi="Times New Roman" w:eastAsia="仿宋_GB2312" w:cs="Times New Roman"/>
                <w:color w:val="auto"/>
                <w:kern w:val="0"/>
                <w:szCs w:val="21"/>
              </w:rPr>
            </w:pPr>
            <w:r>
              <w:rPr>
                <w:rFonts w:hint="default" w:ascii="Times New Roman" w:hAnsi="Times New Roman" w:eastAsia="Times New Roman" w:cs="Times New Roman"/>
                <w:color w:val="auto"/>
                <w:szCs w:val="21"/>
              </w:rPr>
              <w:t>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418" w:type="dxa"/>
            <w:tcBorders>
              <w:top w:val="nil"/>
              <w:left w:val="nil"/>
              <w:bottom w:val="single" w:color="auto" w:sz="4" w:space="0"/>
              <w:right w:val="single" w:color="auto" w:sz="4" w:space="0"/>
            </w:tcBorders>
            <w:shd w:val="clear" w:color="auto" w:fill="auto"/>
            <w:vAlign w:val="bottom"/>
          </w:tcPr>
          <w:p>
            <w:pPr>
              <w:spacing w:line="0" w:lineRule="atLeast"/>
              <w:rPr>
                <w:rFonts w:hint="default" w:ascii="Times New Roman" w:hAnsi="Times New Roman" w:eastAsia="仿宋_GB2312" w:cs="Times New Roman"/>
                <w:color w:val="auto"/>
                <w:kern w:val="0"/>
                <w:szCs w:val="21"/>
              </w:rPr>
            </w:pP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指标2：</w:t>
            </w:r>
            <w:r>
              <w:rPr>
                <w:rFonts w:hint="default" w:ascii="Times New Roman" w:hAnsi="Times New Roman" w:eastAsia="宋体" w:cs="Times New Roman"/>
                <w:color w:val="auto"/>
              </w:rPr>
              <w:t>：满调制度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指标1：满时间度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rPr>
              <w:t>维护费支出率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（30分）</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rPr>
              <w:t>资金到位率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群众免费收听率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对美好乡村建设帮助度</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优</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绩</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标</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中央广播电视节目覆盖率</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889"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028" w:type="dxa"/>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（10分）</w:t>
            </w:r>
          </w:p>
        </w:tc>
        <w:tc>
          <w:tcPr>
            <w:tcW w:w="1146" w:type="dxa"/>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服务对象满意度指标</w:t>
            </w:r>
          </w:p>
        </w:tc>
        <w:tc>
          <w:tcPr>
            <w:tcW w:w="140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指标1：</w:t>
            </w:r>
            <w:r>
              <w:rPr>
                <w:rFonts w:hint="default" w:ascii="Times New Roman" w:hAnsi="Times New Roman" w:eastAsia="宋体" w:cs="Times New Roman"/>
                <w:color w:val="auto"/>
                <w:sz w:val="18"/>
                <w:szCs w:val="18"/>
              </w:rPr>
              <w:t>群众免费收听收看满意率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100%</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Layout w:type="fixed"/>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总分</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spacing w:line="600" w:lineRule="exact"/>
        <w:rPr>
          <w:rFonts w:hint="default" w:ascii="Times New Roman" w:hAnsi="Times New Roman" w:eastAsia="黑体" w:cs="Times New Roman"/>
          <w:color w:val="auto"/>
          <w:kern w:val="0"/>
          <w:sz w:val="32"/>
          <w:szCs w:val="32"/>
        </w:rPr>
      </w:pPr>
    </w:p>
    <w:p>
      <w:pPr>
        <w:widowControl/>
        <w:spacing w:before="156" w:beforeLines="50" w:after="156" w:afterLines="50"/>
        <w:jc w:val="left"/>
        <w:rPr>
          <w:rFonts w:hint="default" w:ascii="Times New Roman" w:hAnsi="Times New Roman" w:cs="Times New Roman"/>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DD0DC"/>
    <w:multiLevelType w:val="singleLevel"/>
    <w:tmpl w:val="AA2DD0DC"/>
    <w:lvl w:ilvl="0" w:tentative="0">
      <w:start w:val="1"/>
      <w:numFmt w:val="chineseCounting"/>
      <w:suff w:val="nothing"/>
      <w:lvlText w:val="%1、"/>
      <w:lvlJc w:val="left"/>
      <w:rPr>
        <w:rFonts w:hint="eastAsia"/>
      </w:rPr>
    </w:lvl>
  </w:abstractNum>
  <w:abstractNum w:abstractNumId="1">
    <w:nsid w:val="FB344251"/>
    <w:multiLevelType w:val="singleLevel"/>
    <w:tmpl w:val="FB344251"/>
    <w:lvl w:ilvl="0" w:tentative="0">
      <w:start w:val="8"/>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314813"/>
    <w:multiLevelType w:val="singleLevel"/>
    <w:tmpl w:val="4C314813"/>
    <w:lvl w:ilvl="0" w:tentative="0">
      <w:start w:val="1"/>
      <w:numFmt w:val="chineseCounting"/>
      <w:suff w:val="nothing"/>
      <w:lvlText w:val="%1、"/>
      <w:lvlJc w:val="left"/>
      <w:pPr>
        <w:ind w:left="-10"/>
      </w:pPr>
      <w:rPr>
        <w:rFonts w:hint="eastAsia"/>
      </w:rPr>
    </w:lvl>
  </w:abstractNum>
  <w:abstractNum w:abstractNumId="4">
    <w:nsid w:val="4C5F4617"/>
    <w:multiLevelType w:val="singleLevel"/>
    <w:tmpl w:val="4C5F4617"/>
    <w:lvl w:ilvl="0" w:tentative="0">
      <w:start w:val="3"/>
      <w:numFmt w:val="decimal"/>
      <w:suff w:val="nothing"/>
      <w:lvlText w:val="%1、"/>
      <w:lvlJc w:val="left"/>
    </w:lvl>
  </w:abstractNum>
  <w:abstractNum w:abstractNumId="5">
    <w:nsid w:val="569CA431"/>
    <w:multiLevelType w:val="singleLevel"/>
    <w:tmpl w:val="569CA431"/>
    <w:lvl w:ilvl="0" w:tentative="0">
      <w:start w:val="2"/>
      <w:numFmt w:val="chineseCounting"/>
      <w:suff w:val="nothing"/>
      <w:lvlText w:val="（%1）"/>
      <w:lvlJc w:val="left"/>
      <w:rPr>
        <w:rFonts w:hint="eastAsia"/>
      </w:rPr>
    </w:lvl>
  </w:abstractNum>
  <w:abstractNum w:abstractNumId="6">
    <w:nsid w:val="5C00CB71"/>
    <w:multiLevelType w:val="singleLevel"/>
    <w:tmpl w:val="5C00CB71"/>
    <w:lvl w:ilvl="0" w:tentative="0">
      <w:start w:val="1"/>
      <w:numFmt w:val="chineseCounting"/>
      <w:suff w:val="nothing"/>
      <w:lvlText w:val="（%1）"/>
      <w:lvlJc w:val="left"/>
      <w:pPr>
        <w:ind w:left="-280"/>
      </w:pPr>
      <w:rPr>
        <w:rFonts w:hint="eastAsia"/>
      </w:rPr>
    </w:lvl>
  </w:abstractNum>
  <w:abstractNum w:abstractNumId="7">
    <w:nsid w:val="65AA0ED8"/>
    <w:multiLevelType w:val="singleLevel"/>
    <w:tmpl w:val="65AA0ED8"/>
    <w:lvl w:ilvl="0" w:tentative="0">
      <w:start w:val="3"/>
      <w:numFmt w:val="chineseCounting"/>
      <w:suff w:val="nothing"/>
      <w:lvlText w:val="%1、"/>
      <w:lvlJc w:val="left"/>
      <w:rPr>
        <w:rFonts w:hint="eastAsia"/>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74691"/>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4E12CA"/>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47F72"/>
    <w:rsid w:val="00950252"/>
    <w:rsid w:val="00967F5D"/>
    <w:rsid w:val="009732A3"/>
    <w:rsid w:val="009A0F95"/>
    <w:rsid w:val="009B3ADF"/>
    <w:rsid w:val="009B6A64"/>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930A9"/>
    <w:rsid w:val="00BB4A40"/>
    <w:rsid w:val="00BD6C3E"/>
    <w:rsid w:val="00BE3674"/>
    <w:rsid w:val="00BE61AA"/>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ED4B29"/>
    <w:rsid w:val="00EF729A"/>
    <w:rsid w:val="00F61E9A"/>
    <w:rsid w:val="00F74360"/>
    <w:rsid w:val="00FB462F"/>
    <w:rsid w:val="00FC601D"/>
    <w:rsid w:val="00FE16FA"/>
    <w:rsid w:val="00FE328A"/>
    <w:rsid w:val="00FE6269"/>
    <w:rsid w:val="00FF5CD6"/>
    <w:rsid w:val="013D2F37"/>
    <w:rsid w:val="017D49D1"/>
    <w:rsid w:val="053B102E"/>
    <w:rsid w:val="05417780"/>
    <w:rsid w:val="124F4471"/>
    <w:rsid w:val="22DB5091"/>
    <w:rsid w:val="24D874F8"/>
    <w:rsid w:val="277D436C"/>
    <w:rsid w:val="2EAA7A53"/>
    <w:rsid w:val="38981F26"/>
    <w:rsid w:val="39BB6DCD"/>
    <w:rsid w:val="3CA81DDA"/>
    <w:rsid w:val="43EB17AC"/>
    <w:rsid w:val="442075F2"/>
    <w:rsid w:val="4E0301D4"/>
    <w:rsid w:val="518D44AE"/>
    <w:rsid w:val="51F0622E"/>
    <w:rsid w:val="54E40121"/>
    <w:rsid w:val="57CE0FA2"/>
    <w:rsid w:val="59487667"/>
    <w:rsid w:val="60AB6552"/>
    <w:rsid w:val="60ED2131"/>
    <w:rsid w:val="61613152"/>
    <w:rsid w:val="61E23F18"/>
    <w:rsid w:val="656C45D3"/>
    <w:rsid w:val="67CF6415"/>
    <w:rsid w:val="6D703E88"/>
    <w:rsid w:val="6DA65047"/>
    <w:rsid w:val="6DC8649C"/>
    <w:rsid w:val="6ED908B2"/>
    <w:rsid w:val="736272FF"/>
    <w:rsid w:val="753B65A9"/>
    <w:rsid w:val="78D00720"/>
    <w:rsid w:val="7C2077DC"/>
    <w:rsid w:val="7C796E9D"/>
    <w:rsid w:val="7C7C7642"/>
    <w:rsid w:val="7EE70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basedOn w:val="7"/>
    <w:unhideWhenUsed/>
    <w:qFormat/>
    <w:uiPriority w:val="99"/>
    <w:rPr>
      <w:sz w:val="21"/>
      <w:szCs w:val="21"/>
    </w:r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4">
    <w:name w:val="List Paragraph"/>
    <w:basedOn w:val="1"/>
    <w:qFormat/>
    <w:uiPriority w:val="34"/>
    <w:pPr>
      <w:ind w:firstLine="420" w:firstLineChars="200"/>
    </w:pPr>
  </w:style>
  <w:style w:type="character" w:customStyle="1" w:styleId="15">
    <w:name w:val="批注框文本 字符"/>
    <w:basedOn w:val="7"/>
    <w:link w:val="4"/>
    <w:semiHidden/>
    <w:qFormat/>
    <w:uiPriority w:val="99"/>
    <w:rPr>
      <w:sz w:val="18"/>
      <w:szCs w:val="18"/>
    </w:rPr>
  </w:style>
  <w:style w:type="character" w:customStyle="1" w:styleId="16">
    <w:name w:val="批注文字 字符"/>
    <w:basedOn w:val="7"/>
    <w:link w:val="3"/>
    <w:semiHidden/>
    <w:qFormat/>
    <w:uiPriority w:val="99"/>
    <w:rPr>
      <w:kern w:val="2"/>
      <w:sz w:val="21"/>
      <w:szCs w:val="22"/>
    </w:rPr>
  </w:style>
  <w:style w:type="character" w:customStyle="1" w:styleId="17">
    <w:name w:val="批注主题 字符"/>
    <w:basedOn w:val="16"/>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296E6-C04D-4264-94F6-5823E91429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2184</Words>
  <Characters>12449</Characters>
  <Lines>103</Lines>
  <Paragraphs>29</Paragraphs>
  <TotalTime>0</TotalTime>
  <ScaleCrop>false</ScaleCrop>
  <LinksUpToDate>false</LinksUpToDate>
  <CharactersWithSpaces>14604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杨一帆</cp:lastModifiedBy>
  <cp:lastPrinted>2021-08-23T00:33:00Z</cp:lastPrinted>
  <dcterms:modified xsi:type="dcterms:W3CDTF">2022-10-31T01:33:30Z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753CB72C142B421EB02562984A253D43</vt:lpwstr>
  </property>
</Properties>
</file>