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jc w:val="center"/>
        <w:rPr>
          <w:rFonts w:hint="default" w:ascii="Times New Roman" w:hAnsi="Times New Roman" w:cs="Times New Roman"/>
          <w:color w:val="auto"/>
          <w:sz w:val="56"/>
          <w:szCs w:val="56"/>
        </w:rPr>
      </w:pPr>
    </w:p>
    <w:p>
      <w:pPr>
        <w:pStyle w:val="12"/>
        <w:jc w:val="center"/>
        <w:rPr>
          <w:rFonts w:hint="default" w:ascii="Times New Roman" w:hAnsi="Times New Roman" w:cs="Times New Roman"/>
          <w:color w:val="auto"/>
          <w:sz w:val="56"/>
          <w:szCs w:val="56"/>
        </w:rPr>
      </w:pPr>
    </w:p>
    <w:p>
      <w:pPr>
        <w:pStyle w:val="12"/>
        <w:jc w:val="center"/>
        <w:rPr>
          <w:rFonts w:hint="default" w:ascii="Times New Roman" w:hAnsi="Times New Roman" w:cs="Times New Roman"/>
          <w:color w:val="auto"/>
          <w:sz w:val="84"/>
          <w:szCs w:val="84"/>
        </w:rPr>
      </w:pPr>
    </w:p>
    <w:p>
      <w:pPr>
        <w:pStyle w:val="12"/>
        <w:jc w:val="center"/>
        <w:rPr>
          <w:rFonts w:hint="default" w:ascii="Times New Roman" w:hAnsi="Times New Roman" w:cs="Times New Roman"/>
          <w:color w:val="auto"/>
          <w:sz w:val="84"/>
          <w:szCs w:val="84"/>
        </w:rPr>
      </w:pPr>
    </w:p>
    <w:p>
      <w:pPr>
        <w:pStyle w:val="12"/>
        <w:jc w:val="center"/>
        <w:rPr>
          <w:rFonts w:hint="default" w:ascii="Times New Roman" w:hAnsi="Times New Roman" w:cs="Times New Roman"/>
          <w:color w:val="auto"/>
          <w:sz w:val="84"/>
          <w:szCs w:val="84"/>
        </w:rPr>
      </w:pPr>
      <w:r>
        <w:rPr>
          <w:rFonts w:hint="default" w:ascii="Times New Roman" w:hAnsi="Times New Roman" w:cs="Times New Roman"/>
          <w:color w:val="auto"/>
          <w:sz w:val="84"/>
          <w:szCs w:val="84"/>
        </w:rPr>
        <w:t>2020年度</w:t>
      </w:r>
    </w:p>
    <w:p>
      <w:pPr>
        <w:pStyle w:val="12"/>
        <w:jc w:val="center"/>
        <w:rPr>
          <w:rFonts w:hint="default" w:ascii="Times New Roman" w:hAnsi="Times New Roman" w:cs="Times New Roman"/>
          <w:color w:val="auto"/>
          <w:sz w:val="84"/>
          <w:szCs w:val="84"/>
        </w:rPr>
      </w:pPr>
      <w:r>
        <w:rPr>
          <w:rFonts w:hint="default" w:ascii="Times New Roman" w:hAnsi="Times New Roman" w:cs="Times New Roman"/>
          <w:color w:val="auto"/>
          <w:sz w:val="84"/>
          <w:szCs w:val="84"/>
        </w:rPr>
        <w:t>湖南省新闻出版广电局岳阳中波转播台部门决算</w:t>
      </w:r>
    </w:p>
    <w:p>
      <w:pPr>
        <w:pStyle w:val="12"/>
        <w:jc w:val="center"/>
        <w:rPr>
          <w:rFonts w:hint="default" w:ascii="Times New Roman" w:hAnsi="Times New Roman" w:cs="Times New Roman"/>
          <w:color w:val="auto"/>
          <w:sz w:val="56"/>
          <w:szCs w:val="56"/>
        </w:rPr>
      </w:pPr>
    </w:p>
    <w:p>
      <w:pPr>
        <w:pStyle w:val="12"/>
        <w:jc w:val="center"/>
        <w:rPr>
          <w:rFonts w:hint="default" w:ascii="Times New Roman" w:hAnsi="Times New Roman" w:cs="Times New Roman"/>
          <w:color w:val="auto"/>
          <w:sz w:val="56"/>
          <w:szCs w:val="56"/>
        </w:rPr>
      </w:pPr>
    </w:p>
    <w:p>
      <w:pPr>
        <w:pStyle w:val="12"/>
        <w:jc w:val="center"/>
        <w:rPr>
          <w:rFonts w:hint="default" w:ascii="Times New Roman" w:hAnsi="Times New Roman" w:cs="Times New Roman"/>
          <w:color w:val="auto"/>
          <w:sz w:val="56"/>
          <w:szCs w:val="56"/>
        </w:rPr>
      </w:pPr>
    </w:p>
    <w:p>
      <w:pPr>
        <w:pStyle w:val="12"/>
        <w:jc w:val="center"/>
        <w:rPr>
          <w:rFonts w:hint="default" w:ascii="Times New Roman" w:hAnsi="Times New Roman" w:cs="Times New Roman"/>
          <w:color w:val="auto"/>
          <w:sz w:val="56"/>
          <w:szCs w:val="56"/>
        </w:rPr>
      </w:pPr>
    </w:p>
    <w:p>
      <w:pPr>
        <w:pStyle w:val="12"/>
        <w:jc w:val="center"/>
        <w:rPr>
          <w:rFonts w:hint="default" w:ascii="Times New Roman" w:hAnsi="Times New Roman" w:cs="Times New Roman"/>
          <w:color w:val="auto"/>
          <w:sz w:val="32"/>
          <w:szCs w:val="32"/>
        </w:rPr>
      </w:pPr>
    </w:p>
    <w:p>
      <w:pPr>
        <w:pStyle w:val="12"/>
        <w:jc w:val="center"/>
        <w:rPr>
          <w:rFonts w:hint="default" w:ascii="Times New Roman" w:hAnsi="Times New Roman" w:cs="Times New Roman"/>
          <w:color w:val="auto"/>
          <w:sz w:val="32"/>
          <w:szCs w:val="32"/>
        </w:rPr>
      </w:pPr>
    </w:p>
    <w:p>
      <w:pPr>
        <w:pStyle w:val="12"/>
        <w:jc w:val="center"/>
        <w:rPr>
          <w:rFonts w:hint="default" w:ascii="Times New Roman" w:hAnsi="Times New Roman" w:cs="Times New Roman"/>
          <w:color w:val="auto"/>
          <w:sz w:val="32"/>
          <w:szCs w:val="32"/>
        </w:rPr>
      </w:pPr>
    </w:p>
    <w:p>
      <w:pPr>
        <w:pStyle w:val="12"/>
        <w:jc w:val="center"/>
        <w:rPr>
          <w:rFonts w:hint="default" w:ascii="Times New Roman" w:hAnsi="Times New Roman" w:cs="Times New Roman"/>
          <w:color w:val="auto"/>
          <w:sz w:val="32"/>
          <w:szCs w:val="32"/>
        </w:rPr>
      </w:pPr>
    </w:p>
    <w:p>
      <w:pPr>
        <w:pStyle w:val="12"/>
        <w:jc w:val="center"/>
        <w:rPr>
          <w:rFonts w:hint="default" w:ascii="Times New Roman" w:hAnsi="Times New Roman" w:cs="Times New Roman"/>
          <w:color w:val="auto"/>
          <w:sz w:val="32"/>
          <w:szCs w:val="32"/>
        </w:rPr>
      </w:pPr>
    </w:p>
    <w:p>
      <w:pPr>
        <w:pStyle w:val="12"/>
        <w:spacing w:line="500" w:lineRule="exact"/>
        <w:jc w:val="center"/>
        <w:rPr>
          <w:rFonts w:hint="default" w:ascii="Times New Roman" w:hAnsi="Times New Roman" w:cs="Times New Roman"/>
          <w:b/>
          <w:color w:val="auto"/>
          <w:sz w:val="36"/>
          <w:szCs w:val="28"/>
        </w:rPr>
      </w:pPr>
      <w:r>
        <w:rPr>
          <w:rFonts w:hint="default" w:ascii="Times New Roman" w:hAnsi="Times New Roman" w:cs="Times New Roman"/>
          <w:b/>
          <w:color w:val="auto"/>
          <w:sz w:val="36"/>
          <w:szCs w:val="28"/>
        </w:rPr>
        <w:t>目录</w:t>
      </w:r>
    </w:p>
    <w:p>
      <w:pPr>
        <w:pStyle w:val="12"/>
        <w:spacing w:line="500" w:lineRule="exact"/>
        <w:rPr>
          <w:rFonts w:hint="default" w:ascii="Times New Roman" w:hAnsi="Times New Roman" w:cs="Times New Roman"/>
          <w:b/>
          <w:color w:val="auto"/>
          <w:sz w:val="28"/>
          <w:szCs w:val="28"/>
        </w:rPr>
      </w:pPr>
      <w:r>
        <w:rPr>
          <w:rFonts w:hint="default" w:ascii="Times New Roman" w:hAnsi="Times New Roman" w:cs="Times New Roman"/>
          <w:b/>
          <w:color w:val="auto"/>
          <w:sz w:val="28"/>
          <w:szCs w:val="28"/>
        </w:rPr>
        <w:t>第一部分</w:t>
      </w:r>
      <w:r>
        <w:rPr>
          <w:rFonts w:hint="eastAsia" w:ascii="Times New Roman" w:hAnsi="Times New Roman" w:cs="Times New Roman"/>
          <w:b/>
          <w:color w:val="auto"/>
          <w:sz w:val="28"/>
          <w:szCs w:val="28"/>
          <w:lang w:val="en-US" w:eastAsia="zh-CN"/>
        </w:rPr>
        <w:t xml:space="preserve"> </w:t>
      </w:r>
      <w:r>
        <w:rPr>
          <w:rFonts w:hint="default" w:ascii="Times New Roman" w:hAnsi="Times New Roman" w:cs="Times New Roman"/>
          <w:b/>
          <w:color w:val="auto"/>
          <w:sz w:val="28"/>
          <w:szCs w:val="28"/>
        </w:rPr>
        <w:t>湖南省新闻出版广电局岳阳中波转播台概况</w:t>
      </w:r>
    </w:p>
    <w:p>
      <w:pPr>
        <w:pStyle w:val="12"/>
        <w:spacing w:line="500" w:lineRule="exact"/>
        <w:ind w:firstLine="700" w:firstLineChars="250"/>
        <w:rPr>
          <w:rFonts w:hint="default" w:ascii="Times New Roman" w:hAnsi="Times New Roman" w:cs="Times New Roman" w:eastAsiaTheme="minorEastAsia"/>
          <w:color w:val="auto"/>
          <w:sz w:val="28"/>
          <w:szCs w:val="28"/>
        </w:rPr>
      </w:pPr>
      <w:r>
        <w:rPr>
          <w:rFonts w:hint="default" w:ascii="Times New Roman" w:hAnsi="Times New Roman" w:cs="Times New Roman" w:eastAsiaTheme="minorEastAsia"/>
          <w:color w:val="auto"/>
          <w:sz w:val="28"/>
          <w:szCs w:val="28"/>
        </w:rPr>
        <w:t>一、部门职责</w:t>
      </w:r>
    </w:p>
    <w:p>
      <w:pPr>
        <w:pStyle w:val="12"/>
        <w:spacing w:line="500" w:lineRule="exact"/>
        <w:ind w:firstLine="700" w:firstLineChars="250"/>
        <w:rPr>
          <w:rFonts w:hint="default" w:ascii="Times New Roman" w:hAnsi="Times New Roman" w:cs="Times New Roman" w:eastAsiaTheme="minorEastAsia"/>
          <w:color w:val="auto"/>
          <w:sz w:val="28"/>
          <w:szCs w:val="28"/>
        </w:rPr>
      </w:pPr>
      <w:r>
        <w:rPr>
          <w:rFonts w:hint="default" w:ascii="Times New Roman" w:hAnsi="Times New Roman" w:cs="Times New Roman" w:eastAsiaTheme="minorEastAsia"/>
          <w:color w:val="auto"/>
          <w:sz w:val="28"/>
          <w:szCs w:val="28"/>
        </w:rPr>
        <w:t>二、机构设置</w:t>
      </w:r>
    </w:p>
    <w:p>
      <w:pPr>
        <w:pStyle w:val="12"/>
        <w:spacing w:line="500" w:lineRule="exact"/>
        <w:rPr>
          <w:rFonts w:hint="default" w:ascii="Times New Roman" w:hAnsi="Times New Roman" w:cs="Times New Roman"/>
          <w:b/>
          <w:color w:val="auto"/>
          <w:sz w:val="28"/>
          <w:szCs w:val="28"/>
        </w:rPr>
      </w:pPr>
      <w:r>
        <w:rPr>
          <w:rFonts w:hint="default" w:ascii="Times New Roman" w:hAnsi="Times New Roman" w:cs="Times New Roman"/>
          <w:b/>
          <w:color w:val="auto"/>
          <w:sz w:val="28"/>
          <w:szCs w:val="28"/>
        </w:rPr>
        <w:t>第二部分</w:t>
      </w:r>
      <w:r>
        <w:rPr>
          <w:rFonts w:hint="eastAsia" w:ascii="Times New Roman" w:hAnsi="Times New Roman" w:cs="Times New Roman"/>
          <w:b/>
          <w:color w:val="auto"/>
          <w:sz w:val="28"/>
          <w:szCs w:val="28"/>
          <w:lang w:val="en-US" w:eastAsia="zh-CN"/>
        </w:rPr>
        <w:t xml:space="preserve"> </w:t>
      </w:r>
      <w:r>
        <w:rPr>
          <w:rFonts w:hint="default" w:ascii="Times New Roman" w:hAnsi="Times New Roman" w:cs="Times New Roman"/>
          <w:b/>
          <w:color w:val="auto"/>
          <w:sz w:val="28"/>
          <w:szCs w:val="28"/>
        </w:rPr>
        <w:t>20</w:t>
      </w:r>
      <w:r>
        <w:rPr>
          <w:rFonts w:hint="default" w:ascii="Times New Roman" w:hAnsi="Times New Roman" w:cs="Times New Roman"/>
          <w:b/>
          <w:color w:val="auto"/>
          <w:sz w:val="28"/>
          <w:szCs w:val="28"/>
        </w:rPr>
        <w:t>20年度部门决算表</w:t>
      </w:r>
    </w:p>
    <w:p>
      <w:pPr>
        <w:pStyle w:val="12"/>
        <w:spacing w:line="500" w:lineRule="exact"/>
        <w:ind w:firstLine="700" w:firstLineChars="250"/>
        <w:rPr>
          <w:rFonts w:hint="default" w:ascii="Times New Roman" w:hAnsi="Times New Roman" w:cs="Times New Roman" w:eastAsiaTheme="minorEastAsia"/>
          <w:color w:val="auto"/>
          <w:sz w:val="28"/>
          <w:szCs w:val="28"/>
        </w:rPr>
      </w:pPr>
      <w:r>
        <w:rPr>
          <w:rFonts w:hint="default" w:ascii="Times New Roman" w:hAnsi="Times New Roman" w:cs="Times New Roman" w:eastAsiaTheme="minorEastAsia"/>
          <w:color w:val="auto"/>
          <w:sz w:val="28"/>
          <w:szCs w:val="28"/>
        </w:rPr>
        <w:t>一、收入支出决算总表</w:t>
      </w:r>
    </w:p>
    <w:p>
      <w:pPr>
        <w:pStyle w:val="12"/>
        <w:spacing w:line="500" w:lineRule="exact"/>
        <w:ind w:firstLine="700" w:firstLineChars="250"/>
        <w:rPr>
          <w:rFonts w:hint="default" w:ascii="Times New Roman" w:hAnsi="Times New Roman" w:cs="Times New Roman" w:eastAsiaTheme="minorEastAsia"/>
          <w:color w:val="auto"/>
          <w:sz w:val="28"/>
          <w:szCs w:val="28"/>
        </w:rPr>
      </w:pPr>
      <w:r>
        <w:rPr>
          <w:rFonts w:hint="default" w:ascii="Times New Roman" w:hAnsi="Times New Roman" w:cs="Times New Roman" w:eastAsiaTheme="minorEastAsia"/>
          <w:color w:val="auto"/>
          <w:sz w:val="28"/>
          <w:szCs w:val="28"/>
        </w:rPr>
        <w:t>二、收入决算表</w:t>
      </w:r>
    </w:p>
    <w:p>
      <w:pPr>
        <w:pStyle w:val="12"/>
        <w:spacing w:line="500" w:lineRule="exact"/>
        <w:ind w:firstLine="700" w:firstLineChars="250"/>
        <w:rPr>
          <w:rFonts w:hint="default" w:ascii="Times New Roman" w:hAnsi="Times New Roman" w:cs="Times New Roman" w:eastAsiaTheme="minorEastAsia"/>
          <w:color w:val="auto"/>
          <w:sz w:val="28"/>
          <w:szCs w:val="28"/>
        </w:rPr>
      </w:pPr>
      <w:r>
        <w:rPr>
          <w:rFonts w:hint="default" w:ascii="Times New Roman" w:hAnsi="Times New Roman" w:cs="Times New Roman" w:eastAsiaTheme="minorEastAsia"/>
          <w:color w:val="auto"/>
          <w:sz w:val="28"/>
          <w:szCs w:val="28"/>
        </w:rPr>
        <w:t>三、支出决算表</w:t>
      </w:r>
    </w:p>
    <w:p>
      <w:pPr>
        <w:pStyle w:val="12"/>
        <w:spacing w:line="500" w:lineRule="exact"/>
        <w:ind w:firstLine="700" w:firstLineChars="250"/>
        <w:rPr>
          <w:rFonts w:hint="default" w:ascii="Times New Roman" w:hAnsi="Times New Roman" w:cs="Times New Roman" w:eastAsiaTheme="minorEastAsia"/>
          <w:color w:val="auto"/>
          <w:sz w:val="28"/>
          <w:szCs w:val="28"/>
        </w:rPr>
      </w:pPr>
      <w:r>
        <w:rPr>
          <w:rFonts w:hint="default" w:ascii="Times New Roman" w:hAnsi="Times New Roman" w:cs="Times New Roman" w:eastAsiaTheme="minorEastAsia"/>
          <w:color w:val="auto"/>
          <w:sz w:val="28"/>
          <w:szCs w:val="28"/>
        </w:rPr>
        <w:t>四、财政拨款收入支出决算总表</w:t>
      </w:r>
    </w:p>
    <w:p>
      <w:pPr>
        <w:pStyle w:val="12"/>
        <w:spacing w:line="500" w:lineRule="exact"/>
        <w:ind w:firstLine="700" w:firstLineChars="250"/>
        <w:rPr>
          <w:rFonts w:hint="default" w:ascii="Times New Roman" w:hAnsi="Times New Roman" w:cs="Times New Roman" w:eastAsiaTheme="minorEastAsia"/>
          <w:color w:val="auto"/>
          <w:sz w:val="28"/>
          <w:szCs w:val="28"/>
        </w:rPr>
      </w:pPr>
      <w:r>
        <w:rPr>
          <w:rFonts w:hint="default" w:ascii="Times New Roman" w:hAnsi="Times New Roman" w:cs="Times New Roman" w:eastAsiaTheme="minorEastAsia"/>
          <w:color w:val="auto"/>
          <w:sz w:val="28"/>
          <w:szCs w:val="28"/>
        </w:rPr>
        <w:t>五、一般公共预算财政拨款支出决算表</w:t>
      </w:r>
    </w:p>
    <w:p>
      <w:pPr>
        <w:pStyle w:val="12"/>
        <w:spacing w:line="500" w:lineRule="exact"/>
        <w:ind w:firstLine="700" w:firstLineChars="250"/>
        <w:rPr>
          <w:rFonts w:hint="default" w:ascii="Times New Roman" w:hAnsi="Times New Roman" w:cs="Times New Roman" w:eastAsiaTheme="minorEastAsia"/>
          <w:color w:val="auto"/>
          <w:sz w:val="28"/>
          <w:szCs w:val="28"/>
        </w:rPr>
      </w:pPr>
      <w:r>
        <w:rPr>
          <w:rFonts w:hint="default" w:ascii="Times New Roman" w:hAnsi="Times New Roman" w:cs="Times New Roman" w:eastAsiaTheme="minorEastAsia"/>
          <w:color w:val="auto"/>
          <w:sz w:val="28"/>
          <w:szCs w:val="28"/>
        </w:rPr>
        <w:t>六、一般公共预算财政拨款基本支出决算表</w:t>
      </w:r>
    </w:p>
    <w:p>
      <w:pPr>
        <w:pStyle w:val="12"/>
        <w:spacing w:line="500" w:lineRule="exact"/>
        <w:ind w:firstLine="700" w:firstLineChars="250"/>
        <w:rPr>
          <w:rFonts w:hint="default" w:ascii="Times New Roman" w:hAnsi="Times New Roman" w:cs="Times New Roman" w:eastAsiaTheme="minorEastAsia"/>
          <w:color w:val="auto"/>
          <w:sz w:val="28"/>
          <w:szCs w:val="28"/>
        </w:rPr>
      </w:pPr>
      <w:r>
        <w:rPr>
          <w:rFonts w:hint="default" w:ascii="Times New Roman" w:hAnsi="Times New Roman" w:cs="Times New Roman" w:eastAsiaTheme="minorEastAsia"/>
          <w:color w:val="auto"/>
          <w:sz w:val="28"/>
          <w:szCs w:val="28"/>
        </w:rPr>
        <w:t>七、一般公共预算财政拨款“三公”经费支出决算表</w:t>
      </w:r>
    </w:p>
    <w:p>
      <w:pPr>
        <w:pStyle w:val="12"/>
        <w:spacing w:line="500" w:lineRule="exact"/>
        <w:ind w:firstLine="700" w:firstLineChars="250"/>
        <w:rPr>
          <w:rFonts w:hint="default" w:ascii="Times New Roman" w:hAnsi="Times New Roman" w:cs="Times New Roman" w:eastAsiaTheme="minorEastAsia"/>
          <w:color w:val="auto"/>
          <w:sz w:val="28"/>
          <w:szCs w:val="28"/>
        </w:rPr>
      </w:pPr>
      <w:r>
        <w:rPr>
          <w:rFonts w:hint="default" w:ascii="Times New Roman" w:hAnsi="Times New Roman" w:cs="Times New Roman" w:eastAsiaTheme="minorEastAsia"/>
          <w:color w:val="auto"/>
          <w:sz w:val="28"/>
          <w:szCs w:val="28"/>
        </w:rPr>
        <w:t>八、政府性基金预算财政拨款收入支出决算表</w:t>
      </w:r>
    </w:p>
    <w:p>
      <w:pPr>
        <w:pStyle w:val="12"/>
        <w:spacing w:line="500" w:lineRule="exact"/>
        <w:ind w:firstLine="700" w:firstLineChars="250"/>
        <w:rPr>
          <w:rFonts w:hint="default" w:ascii="Times New Roman" w:hAnsi="Times New Roman" w:cs="Times New Roman" w:eastAsiaTheme="minorEastAsia"/>
          <w:color w:val="auto"/>
          <w:sz w:val="28"/>
          <w:szCs w:val="28"/>
        </w:rPr>
      </w:pPr>
      <w:r>
        <w:rPr>
          <w:rFonts w:hint="default" w:ascii="Times New Roman" w:hAnsi="Times New Roman" w:cs="Times New Roman" w:eastAsiaTheme="minorEastAsia"/>
          <w:color w:val="auto"/>
          <w:sz w:val="28"/>
          <w:szCs w:val="28"/>
        </w:rPr>
        <w:t>九、国有资本经营预算财政拨款支出决算表</w:t>
      </w:r>
    </w:p>
    <w:p>
      <w:pPr>
        <w:pStyle w:val="12"/>
        <w:spacing w:line="500" w:lineRule="exact"/>
        <w:rPr>
          <w:rFonts w:hint="default" w:ascii="Times New Roman" w:hAnsi="Times New Roman" w:cs="Times New Roman"/>
          <w:b/>
          <w:color w:val="auto"/>
          <w:sz w:val="28"/>
          <w:szCs w:val="28"/>
        </w:rPr>
      </w:pPr>
      <w:r>
        <w:rPr>
          <w:rFonts w:hint="default" w:ascii="Times New Roman" w:hAnsi="Times New Roman" w:cs="Times New Roman"/>
          <w:b/>
          <w:color w:val="auto"/>
          <w:sz w:val="28"/>
          <w:szCs w:val="28"/>
        </w:rPr>
        <w:t>第三部分</w:t>
      </w:r>
      <w:r>
        <w:rPr>
          <w:rFonts w:hint="eastAsia" w:ascii="Times New Roman" w:hAnsi="Times New Roman" w:cs="Times New Roman"/>
          <w:b/>
          <w:color w:val="auto"/>
          <w:sz w:val="28"/>
          <w:szCs w:val="28"/>
          <w:lang w:val="en-US" w:eastAsia="zh-CN"/>
        </w:rPr>
        <w:t xml:space="preserve"> </w:t>
      </w:r>
      <w:r>
        <w:rPr>
          <w:rFonts w:hint="default" w:ascii="Times New Roman" w:hAnsi="Times New Roman" w:cs="Times New Roman"/>
          <w:b/>
          <w:color w:val="auto"/>
          <w:sz w:val="28"/>
          <w:szCs w:val="28"/>
        </w:rPr>
        <w:t>20</w:t>
      </w:r>
      <w:r>
        <w:rPr>
          <w:rFonts w:hint="default" w:ascii="Times New Roman" w:hAnsi="Times New Roman" w:cs="Times New Roman"/>
          <w:b/>
          <w:color w:val="auto"/>
          <w:sz w:val="28"/>
          <w:szCs w:val="28"/>
        </w:rPr>
        <w:t>20年度部门决算情况说明</w:t>
      </w:r>
    </w:p>
    <w:p>
      <w:pPr>
        <w:pStyle w:val="12"/>
        <w:spacing w:line="500" w:lineRule="exact"/>
        <w:ind w:firstLine="700" w:firstLineChars="250"/>
        <w:rPr>
          <w:rFonts w:hint="default" w:ascii="Times New Roman" w:hAnsi="Times New Roman" w:cs="Times New Roman" w:eastAsiaTheme="minorEastAsia"/>
          <w:color w:val="auto"/>
          <w:sz w:val="28"/>
          <w:szCs w:val="28"/>
        </w:rPr>
      </w:pPr>
      <w:r>
        <w:rPr>
          <w:rFonts w:hint="default" w:ascii="Times New Roman" w:hAnsi="Times New Roman" w:cs="Times New Roman" w:eastAsiaTheme="minorEastAsia"/>
          <w:color w:val="auto"/>
          <w:sz w:val="28"/>
          <w:szCs w:val="28"/>
        </w:rPr>
        <w:t>一、收入支出决算总体情况说明</w:t>
      </w:r>
    </w:p>
    <w:p>
      <w:pPr>
        <w:spacing w:line="500" w:lineRule="exact"/>
        <w:ind w:firstLine="700" w:firstLineChars="250"/>
        <w:jc w:val="left"/>
        <w:rPr>
          <w:rFonts w:hint="default" w:ascii="Times New Roman" w:hAnsi="Times New Roman" w:cs="Times New Roman"/>
          <w:color w:val="auto"/>
          <w:sz w:val="28"/>
          <w:szCs w:val="28"/>
        </w:rPr>
      </w:pPr>
      <w:r>
        <w:rPr>
          <w:rFonts w:hint="default" w:ascii="Times New Roman" w:hAnsi="Times New Roman" w:cs="Times New Roman"/>
          <w:color w:val="auto"/>
          <w:sz w:val="28"/>
          <w:szCs w:val="28"/>
        </w:rPr>
        <w:t>二、收入决算情况说明</w:t>
      </w:r>
    </w:p>
    <w:p>
      <w:pPr>
        <w:autoSpaceDE w:val="0"/>
        <w:autoSpaceDN w:val="0"/>
        <w:adjustRightInd w:val="0"/>
        <w:spacing w:line="500" w:lineRule="exact"/>
        <w:ind w:firstLine="700" w:firstLineChars="250"/>
        <w:jc w:val="left"/>
        <w:rPr>
          <w:rFonts w:hint="default" w:ascii="Times New Roman" w:hAnsi="Times New Roman" w:cs="Times New Roman"/>
          <w:color w:val="auto"/>
          <w:kern w:val="0"/>
          <w:sz w:val="28"/>
          <w:szCs w:val="28"/>
        </w:rPr>
      </w:pPr>
      <w:r>
        <w:rPr>
          <w:rFonts w:hint="default" w:ascii="Times New Roman" w:hAnsi="Times New Roman" w:cs="Times New Roman"/>
          <w:color w:val="auto"/>
          <w:kern w:val="0"/>
          <w:sz w:val="28"/>
          <w:szCs w:val="28"/>
        </w:rPr>
        <w:t>三、支出决算情况说明</w:t>
      </w:r>
    </w:p>
    <w:p>
      <w:pPr>
        <w:autoSpaceDE w:val="0"/>
        <w:autoSpaceDN w:val="0"/>
        <w:adjustRightInd w:val="0"/>
        <w:spacing w:line="500" w:lineRule="exact"/>
        <w:ind w:firstLine="700" w:firstLineChars="250"/>
        <w:jc w:val="left"/>
        <w:rPr>
          <w:rFonts w:hint="default" w:ascii="Times New Roman" w:hAnsi="Times New Roman" w:cs="Times New Roman"/>
          <w:color w:val="auto"/>
          <w:kern w:val="0"/>
          <w:sz w:val="28"/>
          <w:szCs w:val="28"/>
        </w:rPr>
      </w:pPr>
      <w:r>
        <w:rPr>
          <w:rFonts w:hint="default" w:ascii="Times New Roman" w:hAnsi="Times New Roman" w:cs="Times New Roman"/>
          <w:color w:val="auto"/>
          <w:kern w:val="0"/>
          <w:sz w:val="28"/>
          <w:szCs w:val="28"/>
        </w:rPr>
        <w:t>四、财政拨款收入支出决算总体情况说明</w:t>
      </w:r>
    </w:p>
    <w:p>
      <w:pPr>
        <w:autoSpaceDE w:val="0"/>
        <w:autoSpaceDN w:val="0"/>
        <w:adjustRightInd w:val="0"/>
        <w:spacing w:line="500" w:lineRule="exact"/>
        <w:ind w:firstLine="700" w:firstLineChars="250"/>
        <w:jc w:val="left"/>
        <w:rPr>
          <w:rFonts w:hint="default" w:ascii="Times New Roman" w:hAnsi="Times New Roman" w:cs="Times New Roman"/>
          <w:color w:val="auto"/>
          <w:kern w:val="0"/>
          <w:sz w:val="28"/>
          <w:szCs w:val="28"/>
        </w:rPr>
      </w:pPr>
      <w:r>
        <w:rPr>
          <w:rFonts w:hint="default" w:ascii="Times New Roman" w:hAnsi="Times New Roman" w:cs="Times New Roman"/>
          <w:color w:val="auto"/>
          <w:kern w:val="0"/>
          <w:sz w:val="28"/>
          <w:szCs w:val="28"/>
        </w:rPr>
        <w:t>五、一般公共预算财政拨款支出决算情况说明</w:t>
      </w:r>
    </w:p>
    <w:p>
      <w:pPr>
        <w:autoSpaceDE w:val="0"/>
        <w:autoSpaceDN w:val="0"/>
        <w:adjustRightInd w:val="0"/>
        <w:spacing w:line="500" w:lineRule="exact"/>
        <w:ind w:firstLine="700" w:firstLineChars="250"/>
        <w:jc w:val="left"/>
        <w:rPr>
          <w:rFonts w:hint="default" w:ascii="Times New Roman" w:hAnsi="Times New Roman" w:cs="Times New Roman"/>
          <w:color w:val="auto"/>
          <w:kern w:val="0"/>
          <w:sz w:val="28"/>
          <w:szCs w:val="28"/>
        </w:rPr>
      </w:pPr>
      <w:r>
        <w:rPr>
          <w:rFonts w:hint="default" w:ascii="Times New Roman" w:hAnsi="Times New Roman" w:cs="Times New Roman"/>
          <w:color w:val="auto"/>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hint="default" w:ascii="Times New Roman" w:hAnsi="Times New Roman" w:cs="Times New Roman"/>
          <w:color w:val="auto"/>
          <w:kern w:val="0"/>
          <w:sz w:val="28"/>
          <w:szCs w:val="28"/>
        </w:rPr>
      </w:pPr>
      <w:r>
        <w:rPr>
          <w:rFonts w:hint="default" w:ascii="Times New Roman" w:hAnsi="Times New Roman" w:cs="Times New Roman"/>
          <w:color w:val="auto"/>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hint="default" w:ascii="Times New Roman" w:hAnsi="Times New Roman" w:cs="Times New Roman"/>
          <w:color w:val="auto"/>
          <w:kern w:val="0"/>
          <w:sz w:val="28"/>
          <w:szCs w:val="28"/>
        </w:rPr>
      </w:pPr>
      <w:r>
        <w:rPr>
          <w:rFonts w:hint="default" w:ascii="Times New Roman" w:hAnsi="Times New Roman" w:cs="Times New Roman"/>
          <w:color w:val="auto"/>
          <w:kern w:val="0"/>
          <w:sz w:val="28"/>
          <w:szCs w:val="28"/>
        </w:rPr>
        <w:t>八</w:t>
      </w:r>
      <w:r>
        <w:rPr>
          <w:rFonts w:hint="default" w:ascii="Times New Roman" w:hAnsi="Times New Roman" w:cs="Times New Roman"/>
          <w:color w:val="auto"/>
          <w:kern w:val="0"/>
          <w:sz w:val="28"/>
          <w:szCs w:val="28"/>
        </w:rPr>
        <w:t>、</w:t>
      </w:r>
      <w:r>
        <w:rPr>
          <w:rFonts w:hint="default" w:ascii="Times New Roman" w:hAnsi="Times New Roman" w:cs="Times New Roman"/>
          <w:color w:val="auto"/>
          <w:kern w:val="0"/>
          <w:sz w:val="28"/>
          <w:szCs w:val="28"/>
        </w:rPr>
        <w:t>政府性基金预算收入支出决算情况</w:t>
      </w:r>
    </w:p>
    <w:p>
      <w:pPr>
        <w:autoSpaceDE w:val="0"/>
        <w:autoSpaceDN w:val="0"/>
        <w:adjustRightInd w:val="0"/>
        <w:spacing w:line="500" w:lineRule="exact"/>
        <w:ind w:firstLine="700" w:firstLineChars="250"/>
        <w:jc w:val="left"/>
        <w:rPr>
          <w:rFonts w:hint="default" w:ascii="Times New Roman" w:hAnsi="Times New Roman" w:cs="Times New Roman"/>
          <w:color w:val="auto"/>
          <w:kern w:val="0"/>
          <w:sz w:val="28"/>
          <w:szCs w:val="28"/>
        </w:rPr>
      </w:pPr>
      <w:r>
        <w:rPr>
          <w:rFonts w:hint="default" w:ascii="Times New Roman" w:hAnsi="Times New Roman" w:cs="Times New Roman"/>
          <w:color w:val="auto"/>
          <w:kern w:val="0"/>
          <w:sz w:val="28"/>
          <w:szCs w:val="28"/>
        </w:rPr>
        <w:t>九</w:t>
      </w:r>
      <w:r>
        <w:rPr>
          <w:rFonts w:hint="default" w:ascii="Times New Roman" w:hAnsi="Times New Roman" w:cs="Times New Roman"/>
          <w:color w:val="auto"/>
          <w:kern w:val="0"/>
          <w:sz w:val="28"/>
          <w:szCs w:val="28"/>
        </w:rPr>
        <w:t>、</w:t>
      </w:r>
      <w:r>
        <w:rPr>
          <w:rFonts w:hint="default" w:ascii="Times New Roman" w:hAnsi="Times New Roman" w:cs="Times New Roman"/>
          <w:color w:val="auto"/>
          <w:kern w:val="0"/>
          <w:sz w:val="28"/>
          <w:szCs w:val="28"/>
        </w:rPr>
        <w:t>关于机关运行经费支出说明</w:t>
      </w:r>
    </w:p>
    <w:p>
      <w:pPr>
        <w:autoSpaceDE w:val="0"/>
        <w:autoSpaceDN w:val="0"/>
        <w:adjustRightInd w:val="0"/>
        <w:spacing w:line="500" w:lineRule="exact"/>
        <w:ind w:firstLine="700" w:firstLineChars="250"/>
        <w:jc w:val="left"/>
        <w:rPr>
          <w:rFonts w:hint="default" w:ascii="Times New Roman" w:hAnsi="Times New Roman" w:cs="Times New Roman"/>
          <w:color w:val="auto"/>
          <w:kern w:val="0"/>
          <w:sz w:val="28"/>
          <w:szCs w:val="28"/>
        </w:rPr>
      </w:pPr>
      <w:r>
        <w:rPr>
          <w:rFonts w:hint="default" w:ascii="Times New Roman" w:hAnsi="Times New Roman" w:cs="Times New Roman"/>
          <w:color w:val="auto"/>
          <w:kern w:val="0"/>
          <w:sz w:val="28"/>
          <w:szCs w:val="28"/>
        </w:rPr>
        <w:t>十、一般性支出情况</w:t>
      </w:r>
    </w:p>
    <w:p>
      <w:pPr>
        <w:autoSpaceDE w:val="0"/>
        <w:autoSpaceDN w:val="0"/>
        <w:adjustRightInd w:val="0"/>
        <w:spacing w:line="500" w:lineRule="exact"/>
        <w:ind w:firstLine="700" w:firstLineChars="250"/>
        <w:jc w:val="left"/>
        <w:rPr>
          <w:rFonts w:hint="default" w:ascii="Times New Roman" w:hAnsi="Times New Roman" w:cs="Times New Roman"/>
          <w:color w:val="auto"/>
          <w:kern w:val="0"/>
          <w:sz w:val="28"/>
          <w:szCs w:val="28"/>
        </w:rPr>
      </w:pPr>
      <w:r>
        <w:rPr>
          <w:rFonts w:hint="default" w:ascii="Times New Roman" w:hAnsi="Times New Roman" w:cs="Times New Roman"/>
          <w:color w:val="auto"/>
          <w:kern w:val="0"/>
          <w:sz w:val="28"/>
          <w:szCs w:val="28"/>
        </w:rPr>
        <w:t>十一、关于政府采购支出说明</w:t>
      </w:r>
    </w:p>
    <w:p>
      <w:pPr>
        <w:pStyle w:val="12"/>
        <w:spacing w:line="500" w:lineRule="exact"/>
        <w:ind w:firstLine="700" w:firstLineChars="250"/>
        <w:rPr>
          <w:rFonts w:hint="default" w:ascii="Times New Roman" w:hAnsi="Times New Roman" w:cs="Times New Roman" w:eastAsiaTheme="minorEastAsia"/>
          <w:color w:val="auto"/>
          <w:sz w:val="28"/>
          <w:szCs w:val="28"/>
        </w:rPr>
      </w:pPr>
      <w:r>
        <w:rPr>
          <w:rFonts w:hint="default" w:ascii="Times New Roman" w:hAnsi="Times New Roman" w:cs="Times New Roman" w:eastAsiaTheme="minorEastAsia"/>
          <w:color w:val="auto"/>
          <w:sz w:val="28"/>
          <w:szCs w:val="28"/>
        </w:rPr>
        <w:t>十二、关于国有资产占用情况说明</w:t>
      </w:r>
    </w:p>
    <w:p>
      <w:pPr>
        <w:pStyle w:val="12"/>
        <w:spacing w:line="500" w:lineRule="exact"/>
        <w:ind w:firstLine="700" w:firstLineChars="250"/>
        <w:rPr>
          <w:rFonts w:hint="default" w:ascii="Times New Roman" w:hAnsi="Times New Roman" w:cs="Times New Roman" w:eastAsiaTheme="minorEastAsia"/>
          <w:color w:val="auto"/>
          <w:sz w:val="28"/>
          <w:szCs w:val="28"/>
        </w:rPr>
      </w:pPr>
      <w:r>
        <w:rPr>
          <w:rFonts w:hint="default" w:ascii="Times New Roman" w:hAnsi="Times New Roman" w:cs="Times New Roman" w:eastAsiaTheme="minorEastAsia"/>
          <w:color w:val="auto"/>
          <w:sz w:val="28"/>
          <w:szCs w:val="28"/>
        </w:rPr>
        <w:t>十三、关</w:t>
      </w:r>
      <w:r>
        <w:rPr>
          <w:rFonts w:hint="default" w:ascii="Times New Roman" w:hAnsi="Times New Roman" w:cs="Times New Roman" w:eastAsiaTheme="minorEastAsia"/>
          <w:color w:val="auto"/>
          <w:sz w:val="28"/>
          <w:szCs w:val="28"/>
        </w:rPr>
        <w:t>于2020年</w:t>
      </w:r>
      <w:r>
        <w:rPr>
          <w:rFonts w:hint="default" w:ascii="Times New Roman" w:hAnsi="Times New Roman" w:cs="Times New Roman" w:eastAsiaTheme="minorEastAsia"/>
          <w:color w:val="auto"/>
          <w:sz w:val="28"/>
          <w:szCs w:val="28"/>
        </w:rPr>
        <w:t>度预算绩效情况的说明</w:t>
      </w:r>
    </w:p>
    <w:p>
      <w:pPr>
        <w:autoSpaceDE w:val="0"/>
        <w:autoSpaceDN w:val="0"/>
        <w:adjustRightInd w:val="0"/>
        <w:spacing w:line="500" w:lineRule="exact"/>
        <w:jc w:val="left"/>
        <w:rPr>
          <w:rFonts w:hint="default" w:ascii="Times New Roman" w:hAnsi="Times New Roman" w:eastAsia="黑体" w:cs="Times New Roman"/>
          <w:b/>
          <w:color w:val="auto"/>
          <w:kern w:val="0"/>
          <w:sz w:val="28"/>
          <w:szCs w:val="28"/>
        </w:rPr>
      </w:pPr>
      <w:r>
        <w:rPr>
          <w:rFonts w:hint="default" w:ascii="Times New Roman" w:hAnsi="Times New Roman" w:eastAsia="黑体" w:cs="Times New Roman"/>
          <w:b/>
          <w:color w:val="auto"/>
          <w:kern w:val="0"/>
          <w:sz w:val="28"/>
          <w:szCs w:val="28"/>
        </w:rPr>
        <w:t>第四部分</w:t>
      </w:r>
      <w:r>
        <w:rPr>
          <w:rFonts w:hint="eastAsia" w:ascii="Times New Roman" w:hAnsi="Times New Roman" w:eastAsia="黑体" w:cs="Times New Roman"/>
          <w:b/>
          <w:color w:val="auto"/>
          <w:kern w:val="0"/>
          <w:sz w:val="28"/>
          <w:szCs w:val="28"/>
          <w:lang w:val="en-US" w:eastAsia="zh-CN"/>
        </w:rPr>
        <w:t xml:space="preserve"> </w:t>
      </w:r>
      <w:r>
        <w:rPr>
          <w:rFonts w:hint="default" w:ascii="Times New Roman" w:hAnsi="Times New Roman" w:eastAsia="黑体" w:cs="Times New Roman"/>
          <w:b/>
          <w:color w:val="auto"/>
          <w:kern w:val="0"/>
          <w:sz w:val="28"/>
          <w:szCs w:val="28"/>
        </w:rPr>
        <w:t>名词解释</w:t>
      </w:r>
    </w:p>
    <w:p>
      <w:pPr>
        <w:autoSpaceDE w:val="0"/>
        <w:autoSpaceDN w:val="0"/>
        <w:adjustRightInd w:val="0"/>
        <w:spacing w:line="500" w:lineRule="exact"/>
        <w:jc w:val="left"/>
        <w:rPr>
          <w:rFonts w:hint="default" w:ascii="Times New Roman" w:hAnsi="Times New Roman" w:eastAsia="黑体" w:cs="Times New Roman"/>
          <w:b/>
          <w:color w:val="auto"/>
          <w:kern w:val="0"/>
          <w:sz w:val="28"/>
          <w:szCs w:val="28"/>
        </w:rPr>
      </w:pPr>
      <w:r>
        <w:rPr>
          <w:rFonts w:hint="default" w:ascii="Times New Roman" w:hAnsi="Times New Roman" w:eastAsia="黑体" w:cs="Times New Roman"/>
          <w:b/>
          <w:color w:val="auto"/>
          <w:kern w:val="0"/>
          <w:sz w:val="28"/>
          <w:szCs w:val="28"/>
        </w:rPr>
        <w:t>第五部分</w:t>
      </w:r>
      <w:r>
        <w:rPr>
          <w:rFonts w:hint="eastAsia" w:ascii="Times New Roman" w:hAnsi="Times New Roman" w:eastAsia="黑体" w:cs="Times New Roman"/>
          <w:b/>
          <w:color w:val="auto"/>
          <w:kern w:val="0"/>
          <w:sz w:val="28"/>
          <w:szCs w:val="28"/>
          <w:lang w:val="en-US" w:eastAsia="zh-CN"/>
        </w:rPr>
        <w:t xml:space="preserve"> </w:t>
      </w:r>
      <w:bookmarkStart w:id="3" w:name="_GoBack"/>
      <w:bookmarkEnd w:id="3"/>
      <w:r>
        <w:rPr>
          <w:rFonts w:hint="default" w:ascii="Times New Roman" w:hAnsi="Times New Roman" w:eastAsia="黑体" w:cs="Times New Roman"/>
          <w:b/>
          <w:color w:val="auto"/>
          <w:kern w:val="0"/>
          <w:sz w:val="28"/>
          <w:szCs w:val="28"/>
        </w:rPr>
        <w:t>附件</w:t>
      </w:r>
    </w:p>
    <w:p>
      <w:pPr>
        <w:jc w:val="center"/>
        <w:rPr>
          <w:rFonts w:hint="default" w:ascii="Times New Roman" w:hAnsi="Times New Roman" w:cs="Times New Roman"/>
          <w:color w:val="auto"/>
          <w:sz w:val="72"/>
          <w:szCs w:val="72"/>
        </w:rPr>
      </w:pPr>
    </w:p>
    <w:p>
      <w:pPr>
        <w:jc w:val="center"/>
        <w:rPr>
          <w:rFonts w:hint="default" w:ascii="Times New Roman" w:hAnsi="Times New Roman" w:cs="Times New Roman"/>
          <w:color w:val="auto"/>
          <w:sz w:val="72"/>
          <w:szCs w:val="72"/>
        </w:rPr>
      </w:pPr>
    </w:p>
    <w:p>
      <w:pPr>
        <w:jc w:val="center"/>
        <w:rPr>
          <w:rFonts w:hint="default" w:ascii="Times New Roman" w:hAnsi="Times New Roman" w:cs="Times New Roman"/>
          <w:color w:val="auto"/>
          <w:sz w:val="72"/>
          <w:szCs w:val="72"/>
        </w:rPr>
      </w:pPr>
    </w:p>
    <w:p>
      <w:pPr>
        <w:jc w:val="center"/>
        <w:rPr>
          <w:rFonts w:hint="default" w:ascii="Times New Roman" w:hAnsi="Times New Roman" w:cs="Times New Roman"/>
          <w:color w:val="auto"/>
          <w:sz w:val="72"/>
          <w:szCs w:val="72"/>
        </w:rPr>
      </w:pPr>
    </w:p>
    <w:p>
      <w:pPr>
        <w:rPr>
          <w:rFonts w:hint="default" w:ascii="Times New Roman" w:hAnsi="Times New Roman" w:cs="Times New Roman"/>
          <w:color w:val="auto"/>
          <w:sz w:val="72"/>
          <w:szCs w:val="72"/>
        </w:rPr>
      </w:pPr>
    </w:p>
    <w:p>
      <w:pPr>
        <w:pStyle w:val="12"/>
        <w:jc w:val="center"/>
        <w:rPr>
          <w:rFonts w:hint="default" w:ascii="Times New Roman" w:hAnsi="Times New Roman" w:cs="Times New Roman"/>
          <w:color w:val="auto"/>
          <w:sz w:val="84"/>
          <w:szCs w:val="84"/>
        </w:rPr>
      </w:pPr>
      <w:r>
        <w:rPr>
          <w:rFonts w:hint="default" w:ascii="Times New Roman" w:hAnsi="Times New Roman" w:cs="Times New Roman"/>
          <w:color w:val="auto"/>
          <w:sz w:val="84"/>
          <w:szCs w:val="84"/>
        </w:rPr>
        <w:t>第一部分</w:t>
      </w:r>
      <w:r>
        <w:rPr>
          <w:rFonts w:hint="default" w:ascii="Times New Roman" w:hAnsi="Times New Roman" w:cs="Times New Roman"/>
          <w:color w:val="auto"/>
          <w:sz w:val="84"/>
          <w:szCs w:val="84"/>
        </w:rPr>
        <w:t xml:space="preserve"> </w:t>
      </w:r>
    </w:p>
    <w:p>
      <w:pPr>
        <w:pStyle w:val="12"/>
        <w:jc w:val="center"/>
        <w:rPr>
          <w:rFonts w:hint="default" w:ascii="Times New Roman" w:hAnsi="Times New Roman" w:cs="Times New Roman"/>
          <w:color w:val="auto"/>
          <w:sz w:val="84"/>
          <w:szCs w:val="84"/>
        </w:rPr>
      </w:pPr>
    </w:p>
    <w:p>
      <w:pPr>
        <w:pStyle w:val="12"/>
        <w:jc w:val="center"/>
        <w:rPr>
          <w:rFonts w:hint="default" w:ascii="Times New Roman" w:hAnsi="Times New Roman" w:cs="Times New Roman"/>
          <w:color w:val="auto"/>
          <w:sz w:val="84"/>
          <w:szCs w:val="84"/>
        </w:rPr>
      </w:pPr>
      <w:r>
        <w:rPr>
          <w:rFonts w:hint="default" w:ascii="Times New Roman" w:hAnsi="Times New Roman" w:cs="Times New Roman"/>
          <w:color w:val="auto"/>
          <w:sz w:val="84"/>
          <w:szCs w:val="84"/>
        </w:rPr>
        <w:t>湖南省新闻出版广电局岳阳中波转播台概况</w:t>
      </w:r>
    </w:p>
    <w:p>
      <w:pPr>
        <w:jc w:val="center"/>
        <w:rPr>
          <w:rFonts w:hint="default" w:ascii="Times New Roman" w:hAnsi="Times New Roman" w:cs="Times New Roman"/>
          <w:color w:val="auto"/>
          <w:sz w:val="72"/>
          <w:szCs w:val="72"/>
        </w:rPr>
      </w:pPr>
    </w:p>
    <w:p>
      <w:pPr>
        <w:jc w:val="center"/>
        <w:rPr>
          <w:rFonts w:hint="default" w:ascii="Times New Roman" w:hAnsi="Times New Roman" w:cs="Times New Roman"/>
          <w:color w:val="auto"/>
          <w:sz w:val="72"/>
          <w:szCs w:val="72"/>
        </w:rPr>
      </w:pPr>
    </w:p>
    <w:p>
      <w:pPr>
        <w:jc w:val="center"/>
        <w:rPr>
          <w:rFonts w:hint="default" w:ascii="Times New Roman" w:hAnsi="Times New Roman" w:cs="Times New Roman"/>
          <w:color w:val="auto"/>
          <w:sz w:val="72"/>
          <w:szCs w:val="72"/>
        </w:rPr>
      </w:pPr>
    </w:p>
    <w:p>
      <w:pPr>
        <w:jc w:val="center"/>
        <w:rPr>
          <w:rFonts w:hint="default" w:ascii="Times New Roman" w:hAnsi="Times New Roman" w:cs="Times New Roman"/>
          <w:color w:val="auto"/>
          <w:sz w:val="72"/>
          <w:szCs w:val="72"/>
        </w:rPr>
      </w:pPr>
    </w:p>
    <w:p>
      <w:pPr>
        <w:jc w:val="center"/>
        <w:rPr>
          <w:rFonts w:hint="default" w:ascii="Times New Roman" w:hAnsi="Times New Roman" w:cs="Times New Roman"/>
          <w:color w:val="auto"/>
          <w:sz w:val="72"/>
          <w:szCs w:val="72"/>
        </w:rPr>
      </w:pPr>
    </w:p>
    <w:p>
      <w:pPr>
        <w:pStyle w:val="13"/>
        <w:ind w:left="720" w:firstLine="0" w:firstLineChars="0"/>
        <w:jc w:val="left"/>
        <w:rPr>
          <w:rFonts w:hint="default" w:ascii="Times New Roman" w:hAnsi="Times New Roman" w:eastAsia="黑体" w:cs="Times New Roman"/>
          <w:color w:val="auto"/>
          <w:sz w:val="32"/>
          <w:szCs w:val="32"/>
        </w:rPr>
      </w:pPr>
    </w:p>
    <w:p>
      <w:pPr>
        <w:pStyle w:val="13"/>
        <w:ind w:left="720" w:firstLine="0" w:firstLineChars="0"/>
        <w:jc w:val="left"/>
        <w:rPr>
          <w:rFonts w:hint="default" w:ascii="Times New Roman" w:hAnsi="Times New Roman" w:eastAsia="黑体" w:cs="Times New Roman"/>
          <w:color w:val="auto"/>
          <w:sz w:val="32"/>
          <w:szCs w:val="32"/>
        </w:rPr>
      </w:pPr>
    </w:p>
    <w:p>
      <w:pPr>
        <w:pStyle w:val="13"/>
        <w:ind w:left="720" w:firstLine="0" w:firstLineChars="0"/>
        <w:jc w:val="left"/>
        <w:rPr>
          <w:rFonts w:hint="default" w:ascii="Times New Roman" w:hAnsi="Times New Roman" w:eastAsia="黑体" w:cs="Times New Roman"/>
          <w:color w:val="auto"/>
          <w:sz w:val="32"/>
          <w:szCs w:val="32"/>
        </w:rPr>
      </w:pPr>
    </w:p>
    <w:p>
      <w:pPr>
        <w:pStyle w:val="13"/>
        <w:numPr>
          <w:ilvl w:val="0"/>
          <w:numId w:val="1"/>
        </w:numPr>
        <w:ind w:firstLineChars="0"/>
        <w:jc w:val="left"/>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部门职责</w:t>
      </w:r>
    </w:p>
    <w:p>
      <w:pPr>
        <w:ind w:firstLine="320" w:firstLineChars="100"/>
        <w:jc w:val="left"/>
        <w:rPr>
          <w:rFonts w:hint="default" w:ascii="Times New Roman" w:hAnsi="Times New Roman" w:cs="Times New Roman"/>
          <w:color w:val="auto"/>
          <w:sz w:val="32"/>
          <w:szCs w:val="32"/>
        </w:rPr>
      </w:pPr>
      <w:r>
        <w:rPr>
          <w:rFonts w:hint="default" w:ascii="Times New Roman" w:hAnsi="Times New Roman" w:cs="Times New Roman"/>
          <w:color w:val="auto"/>
          <w:sz w:val="32"/>
          <w:szCs w:val="32"/>
        </w:rPr>
        <w:t>（一）</w:t>
      </w:r>
      <w:r>
        <w:rPr>
          <w:rFonts w:hint="default" w:ascii="Times New Roman" w:hAnsi="Times New Roman" w:eastAsia="宋体" w:cs="Times New Roman"/>
          <w:bCs/>
          <w:color w:val="auto"/>
          <w:sz w:val="32"/>
          <w:szCs w:val="32"/>
        </w:rPr>
        <w:t>湖南省新闻出版广电局岳阳中波转播台主要职责是</w:t>
      </w:r>
      <w:r>
        <w:rPr>
          <w:rFonts w:hint="default" w:ascii="Times New Roman" w:hAnsi="Times New Roman" w:eastAsia="宋体" w:cs="Times New Roman"/>
          <w:bCs/>
          <w:color w:val="auto"/>
          <w:kern w:val="24"/>
          <w:sz w:val="32"/>
          <w:szCs w:val="32"/>
        </w:rPr>
        <w:t>转播广播节目及广播电视信号，监测、监听。</w:t>
      </w:r>
    </w:p>
    <w:p>
      <w:pPr>
        <w:widowControl/>
        <w:spacing w:line="600" w:lineRule="exact"/>
        <w:rPr>
          <w:rFonts w:hint="default" w:ascii="Times New Roman" w:hAnsi="Times New Roman" w:eastAsia="黑体" w:cs="Times New Roman"/>
          <w:bCs/>
          <w:color w:val="auto"/>
          <w:kern w:val="0"/>
          <w:sz w:val="32"/>
          <w:szCs w:val="32"/>
        </w:rPr>
      </w:pPr>
      <w:r>
        <w:rPr>
          <w:rFonts w:hint="default" w:ascii="Times New Roman" w:hAnsi="Times New Roman" w:eastAsia="黑体" w:cs="Times New Roman"/>
          <w:bCs/>
          <w:color w:val="auto"/>
          <w:kern w:val="0"/>
          <w:sz w:val="32"/>
          <w:szCs w:val="32"/>
        </w:rPr>
        <w:t>二、机构设置及决算单位构成</w:t>
      </w:r>
    </w:p>
    <w:p>
      <w:pPr>
        <w:widowControl/>
        <w:spacing w:line="600" w:lineRule="exact"/>
        <w:ind w:firstLine="320" w:firstLineChars="100"/>
        <w:rPr>
          <w:rFonts w:hint="default" w:ascii="Times New Roman" w:hAnsi="Times New Roman" w:eastAsia="宋体" w:cs="Times New Roman"/>
          <w:bCs/>
          <w:color w:val="auto"/>
          <w:kern w:val="0"/>
          <w:sz w:val="32"/>
          <w:szCs w:val="32"/>
        </w:rPr>
      </w:pPr>
      <w:r>
        <w:rPr>
          <w:rFonts w:hint="default" w:ascii="Times New Roman" w:hAnsi="Times New Roman" w:eastAsia="宋体" w:cs="Times New Roman"/>
          <w:bCs/>
          <w:color w:val="auto"/>
          <w:kern w:val="0"/>
          <w:sz w:val="32"/>
          <w:szCs w:val="32"/>
        </w:rPr>
        <w:t>（一）内设机构设置。</w:t>
      </w:r>
      <w:r>
        <w:rPr>
          <w:rFonts w:hint="default" w:ascii="Times New Roman" w:hAnsi="Times New Roman" w:eastAsia="宋体" w:cs="Times New Roman"/>
          <w:bCs/>
          <w:color w:val="auto"/>
          <w:sz w:val="32"/>
          <w:szCs w:val="32"/>
        </w:rPr>
        <w:t>湖南省新闻出版广电局岳阳中波转播台</w:t>
      </w:r>
      <w:r>
        <w:rPr>
          <w:rFonts w:hint="default" w:ascii="Times New Roman" w:hAnsi="Times New Roman" w:eastAsia="宋体" w:cs="Times New Roman"/>
          <w:bCs/>
          <w:color w:val="auto"/>
          <w:kern w:val="0"/>
          <w:sz w:val="32"/>
          <w:szCs w:val="32"/>
        </w:rPr>
        <w:t>内设机构包括：机房、办公室、保安部。</w:t>
      </w:r>
    </w:p>
    <w:p>
      <w:pPr>
        <w:widowControl/>
        <w:spacing w:line="600" w:lineRule="exact"/>
        <w:ind w:firstLine="320" w:firstLineChars="100"/>
        <w:rPr>
          <w:rFonts w:hint="default" w:ascii="Times New Roman" w:hAnsi="Times New Roman" w:cs="Times New Roman"/>
          <w:bCs/>
          <w:color w:val="auto"/>
          <w:kern w:val="0"/>
          <w:sz w:val="32"/>
          <w:szCs w:val="32"/>
        </w:rPr>
      </w:pPr>
      <w:r>
        <w:rPr>
          <w:rFonts w:hint="default" w:ascii="Times New Roman" w:hAnsi="Times New Roman" w:eastAsia="宋体" w:cs="Times New Roman"/>
          <w:bCs/>
          <w:color w:val="auto"/>
          <w:kern w:val="0"/>
          <w:sz w:val="32"/>
          <w:szCs w:val="32"/>
        </w:rPr>
        <w:t>（二）决算单位构成。</w:t>
      </w:r>
      <w:r>
        <w:rPr>
          <w:rFonts w:hint="default" w:ascii="Times New Roman" w:hAnsi="Times New Roman" w:eastAsia="宋体" w:cs="Times New Roman"/>
          <w:bCs/>
          <w:color w:val="auto"/>
          <w:sz w:val="32"/>
          <w:szCs w:val="32"/>
        </w:rPr>
        <w:t>湖南省新闻出版广电局岳阳中波转播台</w:t>
      </w:r>
      <w:r>
        <w:rPr>
          <w:rFonts w:hint="default" w:ascii="Times New Roman" w:hAnsi="Times New Roman" w:cs="Times New Roman"/>
          <w:bCs/>
          <w:color w:val="auto"/>
          <w:kern w:val="0"/>
          <w:sz w:val="32"/>
          <w:szCs w:val="32"/>
        </w:rPr>
        <w:t>20</w:t>
      </w:r>
      <w:r>
        <w:rPr>
          <w:rFonts w:hint="default" w:ascii="Times New Roman" w:hAnsi="Times New Roman" w:cs="Times New Roman"/>
          <w:bCs/>
          <w:color w:val="auto"/>
          <w:kern w:val="0"/>
          <w:sz w:val="32"/>
          <w:szCs w:val="32"/>
        </w:rPr>
        <w:t>20年部门决算汇总公开单位构成包括</w:t>
      </w:r>
      <w:r>
        <w:rPr>
          <w:rFonts w:hint="default" w:ascii="Times New Roman" w:hAnsi="Times New Roman" w:eastAsia="宋体" w:cs="Times New Roman"/>
          <w:bCs/>
          <w:color w:val="auto"/>
          <w:sz w:val="32"/>
          <w:szCs w:val="32"/>
        </w:rPr>
        <w:t>湖南省新闻出版广电局岳阳中波转播台</w:t>
      </w:r>
      <w:r>
        <w:rPr>
          <w:rFonts w:hint="default" w:ascii="Times New Roman" w:hAnsi="Times New Roman" w:cs="Times New Roman"/>
          <w:bCs/>
          <w:color w:val="auto"/>
          <w:kern w:val="0"/>
          <w:sz w:val="32"/>
          <w:szCs w:val="32"/>
        </w:rPr>
        <w:t>本级。</w:t>
      </w:r>
    </w:p>
    <w:p>
      <w:pPr>
        <w:rPr>
          <w:rFonts w:hint="default" w:ascii="Times New Roman" w:hAnsi="Times New Roman" w:eastAsia="宋体" w:cs="Times New Roman"/>
          <w:color w:val="auto"/>
          <w:sz w:val="32"/>
          <w:szCs w:val="32"/>
        </w:rPr>
      </w:pPr>
    </w:p>
    <w:p>
      <w:pPr>
        <w:jc w:val="center"/>
        <w:rPr>
          <w:rFonts w:hint="default" w:ascii="Times New Roman" w:hAnsi="Times New Roman" w:eastAsia="黑体" w:cs="Times New Roman"/>
          <w:color w:val="auto"/>
          <w:sz w:val="28"/>
          <w:szCs w:val="28"/>
        </w:rPr>
      </w:pPr>
    </w:p>
    <w:p>
      <w:pPr>
        <w:jc w:val="center"/>
        <w:rPr>
          <w:rFonts w:hint="default" w:ascii="Times New Roman" w:hAnsi="Times New Roman" w:eastAsia="黑体" w:cs="Times New Roman"/>
          <w:color w:val="auto"/>
          <w:sz w:val="28"/>
          <w:szCs w:val="28"/>
        </w:rPr>
      </w:pPr>
    </w:p>
    <w:p>
      <w:pPr>
        <w:jc w:val="center"/>
        <w:rPr>
          <w:rFonts w:hint="default" w:ascii="Times New Roman" w:hAnsi="Times New Roman" w:eastAsia="黑体" w:cs="Times New Roman"/>
          <w:color w:val="auto"/>
          <w:sz w:val="28"/>
          <w:szCs w:val="28"/>
        </w:rPr>
      </w:pPr>
    </w:p>
    <w:p>
      <w:pPr>
        <w:jc w:val="center"/>
        <w:rPr>
          <w:rFonts w:hint="default" w:ascii="Times New Roman" w:hAnsi="Times New Roman" w:eastAsia="黑体" w:cs="Times New Roman"/>
          <w:color w:val="auto"/>
          <w:sz w:val="28"/>
          <w:szCs w:val="28"/>
        </w:rPr>
      </w:pPr>
    </w:p>
    <w:p>
      <w:pPr>
        <w:jc w:val="center"/>
        <w:rPr>
          <w:rFonts w:hint="default" w:ascii="Times New Roman" w:hAnsi="Times New Roman" w:eastAsia="黑体" w:cs="Times New Roman"/>
          <w:color w:val="auto"/>
          <w:sz w:val="28"/>
          <w:szCs w:val="28"/>
        </w:rPr>
      </w:pPr>
    </w:p>
    <w:p>
      <w:pPr>
        <w:jc w:val="center"/>
        <w:rPr>
          <w:rFonts w:hint="default" w:ascii="Times New Roman" w:hAnsi="Times New Roman" w:eastAsia="黑体" w:cs="Times New Roman"/>
          <w:color w:val="auto"/>
          <w:sz w:val="28"/>
          <w:szCs w:val="28"/>
        </w:rPr>
      </w:pPr>
    </w:p>
    <w:p>
      <w:pPr>
        <w:jc w:val="center"/>
        <w:rPr>
          <w:rFonts w:hint="default" w:ascii="Times New Roman" w:hAnsi="Times New Roman" w:eastAsia="黑体" w:cs="Times New Roman"/>
          <w:color w:val="auto"/>
          <w:sz w:val="28"/>
          <w:szCs w:val="28"/>
        </w:rPr>
      </w:pPr>
    </w:p>
    <w:p>
      <w:pPr>
        <w:jc w:val="center"/>
        <w:rPr>
          <w:rFonts w:hint="default" w:ascii="Times New Roman" w:hAnsi="Times New Roman" w:eastAsia="黑体" w:cs="Times New Roman"/>
          <w:color w:val="auto"/>
          <w:sz w:val="28"/>
          <w:szCs w:val="28"/>
        </w:rPr>
      </w:pPr>
    </w:p>
    <w:p>
      <w:pPr>
        <w:jc w:val="center"/>
        <w:rPr>
          <w:rFonts w:hint="default" w:ascii="Times New Roman" w:hAnsi="Times New Roman" w:eastAsia="黑体" w:cs="Times New Roman"/>
          <w:color w:val="auto"/>
          <w:sz w:val="28"/>
          <w:szCs w:val="28"/>
        </w:rPr>
      </w:pPr>
    </w:p>
    <w:p>
      <w:pPr>
        <w:jc w:val="center"/>
        <w:rPr>
          <w:rFonts w:hint="default" w:ascii="Times New Roman" w:hAnsi="Times New Roman" w:eastAsia="黑体" w:cs="Times New Roman"/>
          <w:color w:val="auto"/>
          <w:sz w:val="28"/>
          <w:szCs w:val="28"/>
        </w:rPr>
      </w:pPr>
    </w:p>
    <w:p>
      <w:pPr>
        <w:jc w:val="center"/>
        <w:rPr>
          <w:rFonts w:hint="default" w:ascii="Times New Roman" w:hAnsi="Times New Roman" w:eastAsia="黑体" w:cs="Times New Roman"/>
          <w:color w:val="auto"/>
          <w:sz w:val="28"/>
          <w:szCs w:val="28"/>
        </w:rPr>
      </w:pPr>
    </w:p>
    <w:p>
      <w:pPr>
        <w:jc w:val="center"/>
        <w:rPr>
          <w:rFonts w:hint="default" w:ascii="Times New Roman" w:hAnsi="Times New Roman" w:eastAsia="黑体" w:cs="Times New Roman"/>
          <w:color w:val="auto"/>
          <w:sz w:val="28"/>
          <w:szCs w:val="28"/>
        </w:rPr>
      </w:pPr>
    </w:p>
    <w:p>
      <w:pPr>
        <w:jc w:val="center"/>
        <w:rPr>
          <w:rFonts w:hint="default" w:ascii="Times New Roman" w:hAnsi="Times New Roman" w:cs="Times New Roman"/>
          <w:color w:val="auto"/>
          <w:sz w:val="72"/>
          <w:szCs w:val="72"/>
        </w:rPr>
      </w:pPr>
    </w:p>
    <w:p>
      <w:pPr>
        <w:jc w:val="center"/>
        <w:rPr>
          <w:rFonts w:hint="default" w:ascii="Times New Roman" w:hAnsi="Times New Roman" w:cs="Times New Roman"/>
          <w:color w:val="auto"/>
          <w:sz w:val="72"/>
          <w:szCs w:val="72"/>
        </w:rPr>
      </w:pPr>
    </w:p>
    <w:p>
      <w:pPr>
        <w:jc w:val="center"/>
        <w:rPr>
          <w:rFonts w:hint="default" w:ascii="Times New Roman" w:hAnsi="Times New Roman" w:cs="Times New Roman"/>
          <w:color w:val="auto"/>
          <w:sz w:val="72"/>
          <w:szCs w:val="72"/>
        </w:rPr>
      </w:pPr>
    </w:p>
    <w:p>
      <w:pPr>
        <w:jc w:val="center"/>
        <w:rPr>
          <w:rFonts w:hint="default" w:ascii="Times New Roman" w:hAnsi="Times New Roman" w:cs="Times New Roman"/>
          <w:color w:val="auto"/>
          <w:sz w:val="72"/>
          <w:szCs w:val="72"/>
        </w:rPr>
      </w:pPr>
    </w:p>
    <w:p>
      <w:pPr>
        <w:jc w:val="center"/>
        <w:rPr>
          <w:rFonts w:hint="default" w:ascii="Times New Roman" w:hAnsi="Times New Roman" w:cs="Times New Roman"/>
          <w:color w:val="auto"/>
          <w:sz w:val="72"/>
          <w:szCs w:val="72"/>
        </w:rPr>
      </w:pPr>
    </w:p>
    <w:p>
      <w:pPr>
        <w:jc w:val="center"/>
        <w:rPr>
          <w:rFonts w:hint="default" w:ascii="Times New Roman" w:hAnsi="Times New Roman" w:cs="Times New Roman"/>
          <w:color w:val="auto"/>
          <w:sz w:val="72"/>
          <w:szCs w:val="72"/>
        </w:rPr>
      </w:pPr>
      <w:r>
        <w:rPr>
          <w:rFonts w:hint="default" w:ascii="Times New Roman" w:hAnsi="Times New Roman" w:cs="Times New Roman"/>
          <w:color w:val="auto"/>
          <w:sz w:val="72"/>
          <w:szCs w:val="72"/>
        </w:rPr>
        <w:t>第二部分</w:t>
      </w:r>
    </w:p>
    <w:p>
      <w:pPr>
        <w:jc w:val="center"/>
        <w:rPr>
          <w:rFonts w:hint="default" w:ascii="Times New Roman" w:hAnsi="Times New Roman" w:cs="Times New Roman"/>
          <w:color w:val="auto"/>
          <w:sz w:val="72"/>
          <w:szCs w:val="72"/>
        </w:rPr>
      </w:pPr>
    </w:p>
    <w:p>
      <w:pPr>
        <w:jc w:val="center"/>
        <w:rPr>
          <w:rFonts w:hint="default" w:ascii="Times New Roman" w:hAnsi="Times New Roman" w:cs="Times New Roman"/>
          <w:color w:val="auto"/>
          <w:sz w:val="72"/>
          <w:szCs w:val="72"/>
        </w:rPr>
      </w:pPr>
      <w:r>
        <w:rPr>
          <w:rFonts w:hint="default" w:ascii="Times New Roman" w:hAnsi="Times New Roman" w:cs="Times New Roman"/>
          <w:color w:val="auto"/>
          <w:sz w:val="72"/>
          <w:szCs w:val="72"/>
        </w:rPr>
        <w:t>部门决算表</w:t>
      </w:r>
    </w:p>
    <w:p>
      <w:pPr>
        <w:jc w:val="center"/>
        <w:rPr>
          <w:rFonts w:hint="default" w:ascii="Times New Roman" w:hAnsi="Times New Roman" w:cs="Times New Roman"/>
          <w:color w:val="auto"/>
          <w:sz w:val="72"/>
          <w:szCs w:val="72"/>
        </w:rPr>
      </w:pPr>
    </w:p>
    <w:p>
      <w:pPr>
        <w:jc w:val="center"/>
        <w:rPr>
          <w:rFonts w:hint="default" w:ascii="Times New Roman" w:hAnsi="Times New Roman" w:cs="Times New Roman"/>
          <w:color w:val="auto"/>
          <w:sz w:val="72"/>
          <w:szCs w:val="72"/>
        </w:rPr>
      </w:pPr>
    </w:p>
    <w:p>
      <w:pPr>
        <w:jc w:val="center"/>
        <w:rPr>
          <w:rFonts w:hint="default" w:ascii="Times New Roman" w:hAnsi="Times New Roman" w:cs="Times New Roman"/>
          <w:color w:val="auto"/>
          <w:sz w:val="72"/>
          <w:szCs w:val="72"/>
        </w:rPr>
      </w:pPr>
    </w:p>
    <w:p>
      <w:pPr>
        <w:jc w:val="center"/>
        <w:rPr>
          <w:rFonts w:hint="default" w:ascii="Times New Roman" w:hAnsi="Times New Roman" w:cs="Times New Roman"/>
          <w:color w:val="auto"/>
          <w:sz w:val="72"/>
          <w:szCs w:val="72"/>
        </w:rPr>
      </w:pPr>
    </w:p>
    <w:p>
      <w:pPr>
        <w:jc w:val="center"/>
        <w:rPr>
          <w:rFonts w:hint="default" w:ascii="Times New Roman" w:hAnsi="Times New Roman" w:cs="Times New Roman"/>
          <w:color w:val="auto"/>
          <w:sz w:val="72"/>
          <w:szCs w:val="72"/>
        </w:rPr>
      </w:pPr>
    </w:p>
    <w:p>
      <w:pPr>
        <w:jc w:val="center"/>
        <w:rPr>
          <w:rFonts w:hint="default" w:ascii="Times New Roman" w:hAnsi="Times New Roman" w:cs="Times New Roman"/>
          <w:color w:val="auto"/>
          <w:sz w:val="72"/>
          <w:szCs w:val="72"/>
        </w:rPr>
      </w:pPr>
    </w:p>
    <w:p>
      <w:pPr>
        <w:jc w:val="left"/>
        <w:rPr>
          <w:rFonts w:hint="default" w:ascii="Times New Roman" w:hAnsi="Times New Roman" w:cs="Times New Roman"/>
          <w:color w:val="auto"/>
          <w:sz w:val="32"/>
          <w:szCs w:val="32"/>
        </w:rPr>
      </w:pPr>
    </w:p>
    <w:p>
      <w:pPr>
        <w:jc w:val="left"/>
        <w:rPr>
          <w:rFonts w:hint="default" w:ascii="Times New Roman" w:hAnsi="Times New Roman" w:cs="Times New Roman"/>
          <w:color w:val="auto"/>
          <w:sz w:val="32"/>
          <w:szCs w:val="32"/>
        </w:rPr>
        <w:sectPr>
          <w:pgSz w:w="11906" w:h="16838"/>
          <w:pgMar w:top="720" w:right="720" w:bottom="720" w:left="720" w:header="851" w:footer="992" w:gutter="0"/>
          <w:cols w:space="425" w:num="1"/>
          <w:docGrid w:type="lines" w:linePitch="312" w:charSpace="0"/>
        </w:sectPr>
      </w:pPr>
    </w:p>
    <w:tbl>
      <w:tblPr>
        <w:tblStyle w:val="7"/>
        <w:tblW w:w="14081" w:type="dxa"/>
        <w:tblInd w:w="93" w:type="dxa"/>
        <w:tblLayout w:type="autofit"/>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shd w:val="clear" w:color="auto" w:fill="auto"/>
            <w:noWrap/>
            <w:vAlign w:val="center"/>
          </w:tcPr>
          <w:p>
            <w:pPr>
              <w:widowControl/>
              <w:jc w:val="center"/>
              <w:rPr>
                <w:rFonts w:hint="default" w:ascii="Times New Roman" w:hAnsi="Times New Roman" w:eastAsia="华文中宋" w:cs="Times New Roman"/>
                <w:color w:val="auto"/>
                <w:kern w:val="0"/>
                <w:sz w:val="32"/>
                <w:szCs w:val="32"/>
              </w:rPr>
            </w:pPr>
            <w:r>
              <w:rPr>
                <w:rFonts w:hint="default" w:ascii="Times New Roman" w:hAnsi="Times New Roman" w:eastAsia="华文中宋" w:cs="Times New Roman"/>
                <w:color w:val="auto"/>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c>
          <w:tcPr>
            <w:tcW w:w="697" w:type="dxa"/>
            <w:gridSpan w:val="2"/>
            <w:tcBorders>
              <w:top w:val="nil"/>
              <w:left w:val="nil"/>
              <w:bottom w:val="nil"/>
              <w:right w:val="nil"/>
            </w:tcBorders>
            <w:shd w:val="clear" w:color="000000" w:fill="FFFFFF"/>
            <w:noWrap/>
            <w:vAlign w:val="center"/>
          </w:tcPr>
          <w:p>
            <w:pPr>
              <w:widowControl/>
              <w:jc w:val="righ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部门：</w:t>
            </w:r>
            <w:r>
              <w:rPr>
                <w:rFonts w:hint="default" w:ascii="Times New Roman" w:hAnsi="Times New Roman" w:eastAsia="宋体" w:cs="Times New Roman"/>
                <w:color w:val="auto"/>
                <w:kern w:val="0"/>
                <w:sz w:val="20"/>
                <w:szCs w:val="20"/>
              </w:rPr>
              <w:t xml:space="preserve"> </w:t>
            </w:r>
            <w:r>
              <w:rPr>
                <w:rFonts w:hint="default" w:ascii="Times New Roman" w:hAnsi="Times New Roman" w:eastAsia="宋体" w:cs="Times New Roman"/>
                <w:color w:val="auto"/>
                <w:kern w:val="0"/>
                <w:sz w:val="20"/>
                <w:szCs w:val="20"/>
              </w:rPr>
              <w:t>湖南省新闻出版广电局岳阳中波转播台</w:t>
            </w:r>
            <w:r>
              <w:rPr>
                <w:rFonts w:hint="default" w:ascii="Times New Roman" w:hAnsi="Times New Roman" w:eastAsia="宋体" w:cs="Times New Roman"/>
                <w:color w:val="auto"/>
                <w:kern w:val="0"/>
                <w:sz w:val="20"/>
                <w:szCs w:val="20"/>
              </w:rPr>
              <w:t xml:space="preserve"> </w:t>
            </w:r>
          </w:p>
        </w:tc>
        <w:tc>
          <w:tcPr>
            <w:tcW w:w="697" w:type="dxa"/>
            <w:gridSpan w:val="2"/>
            <w:tcBorders>
              <w:top w:val="nil"/>
              <w:left w:val="nil"/>
              <w:bottom w:val="nil"/>
              <w:right w:val="nil"/>
            </w:tcBorders>
            <w:shd w:val="clear" w:color="000000" w:fill="FFFFFF"/>
            <w:noWrap/>
            <w:vAlign w:val="center"/>
          </w:tcPr>
          <w:p>
            <w:pPr>
              <w:widowControl/>
              <w:jc w:val="righ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项    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项    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栏    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栏    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1</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425.11</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14</w:t>
            </w:r>
          </w:p>
        </w:tc>
        <w:tc>
          <w:tcPr>
            <w:tcW w:w="3633" w:type="dxa"/>
            <w:gridSpan w:val="3"/>
            <w:tcBorders>
              <w:top w:val="nil"/>
              <w:left w:val="nil"/>
              <w:bottom w:val="single" w:color="auto" w:sz="4" w:space="0"/>
              <w:right w:val="single" w:color="auto" w:sz="4" w:space="0"/>
            </w:tcBorders>
            <w:shd w:val="clear" w:color="auto" w:fill="auto"/>
            <w:noWrap/>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2</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0.00</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15</w:t>
            </w:r>
          </w:p>
        </w:tc>
        <w:tc>
          <w:tcPr>
            <w:tcW w:w="3633" w:type="dxa"/>
            <w:gridSpan w:val="3"/>
            <w:tcBorders>
              <w:top w:val="nil"/>
              <w:left w:val="nil"/>
              <w:bottom w:val="single" w:color="auto" w:sz="4" w:space="0"/>
              <w:right w:val="single" w:color="auto" w:sz="4" w:space="0"/>
            </w:tcBorders>
            <w:shd w:val="clear" w:color="auto" w:fill="auto"/>
            <w:noWrap/>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3</w:t>
            </w:r>
          </w:p>
        </w:tc>
        <w:tc>
          <w:tcPr>
            <w:tcW w:w="1230" w:type="dxa"/>
            <w:gridSpan w:val="2"/>
            <w:tcBorders>
              <w:top w:val="nil"/>
              <w:left w:val="nil"/>
              <w:bottom w:val="single" w:color="auto" w:sz="4" w:space="0"/>
              <w:right w:val="single" w:color="auto" w:sz="4" w:space="0"/>
            </w:tcBorders>
            <w:shd w:val="clear" w:color="auto" w:fill="auto"/>
            <w:noWrap/>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16</w:t>
            </w:r>
          </w:p>
        </w:tc>
        <w:tc>
          <w:tcPr>
            <w:tcW w:w="3633" w:type="dxa"/>
            <w:gridSpan w:val="3"/>
            <w:tcBorders>
              <w:top w:val="nil"/>
              <w:left w:val="nil"/>
              <w:bottom w:val="single" w:color="auto" w:sz="4" w:space="0"/>
              <w:right w:val="single" w:color="auto" w:sz="4" w:space="0"/>
            </w:tcBorders>
            <w:shd w:val="clear" w:color="auto" w:fill="auto"/>
            <w:noWrap/>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4</w:t>
            </w:r>
          </w:p>
        </w:tc>
        <w:tc>
          <w:tcPr>
            <w:tcW w:w="1230" w:type="dxa"/>
            <w:gridSpan w:val="2"/>
            <w:tcBorders>
              <w:top w:val="nil"/>
              <w:left w:val="nil"/>
              <w:bottom w:val="single" w:color="auto" w:sz="4" w:space="0"/>
              <w:right w:val="single" w:color="auto" w:sz="4" w:space="0"/>
            </w:tcBorders>
            <w:shd w:val="clear" w:color="auto" w:fill="auto"/>
            <w:noWrap/>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17</w:t>
            </w:r>
          </w:p>
        </w:tc>
        <w:tc>
          <w:tcPr>
            <w:tcW w:w="3633" w:type="dxa"/>
            <w:gridSpan w:val="3"/>
            <w:tcBorders>
              <w:top w:val="nil"/>
              <w:left w:val="nil"/>
              <w:bottom w:val="single" w:color="auto" w:sz="4" w:space="0"/>
              <w:right w:val="single" w:color="auto" w:sz="4" w:space="0"/>
            </w:tcBorders>
            <w:shd w:val="clear" w:color="auto" w:fill="auto"/>
            <w:noWrap/>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5</w:t>
            </w:r>
          </w:p>
        </w:tc>
        <w:tc>
          <w:tcPr>
            <w:tcW w:w="1230" w:type="dxa"/>
            <w:gridSpan w:val="2"/>
            <w:tcBorders>
              <w:top w:val="nil"/>
              <w:left w:val="nil"/>
              <w:bottom w:val="single" w:color="auto" w:sz="4" w:space="0"/>
              <w:right w:val="single" w:color="auto" w:sz="4" w:space="0"/>
            </w:tcBorders>
            <w:shd w:val="clear" w:color="auto" w:fill="auto"/>
            <w:noWrap/>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18</w:t>
            </w:r>
          </w:p>
        </w:tc>
        <w:tc>
          <w:tcPr>
            <w:tcW w:w="3633" w:type="dxa"/>
            <w:gridSpan w:val="3"/>
            <w:tcBorders>
              <w:top w:val="nil"/>
              <w:left w:val="nil"/>
              <w:bottom w:val="single" w:color="auto" w:sz="4" w:space="0"/>
              <w:right w:val="single" w:color="auto" w:sz="4" w:space="0"/>
            </w:tcBorders>
            <w:shd w:val="clear" w:color="auto" w:fill="auto"/>
            <w:noWrap/>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6</w:t>
            </w:r>
          </w:p>
        </w:tc>
        <w:tc>
          <w:tcPr>
            <w:tcW w:w="1230" w:type="dxa"/>
            <w:gridSpan w:val="2"/>
            <w:tcBorders>
              <w:top w:val="nil"/>
              <w:left w:val="nil"/>
              <w:bottom w:val="single" w:color="auto" w:sz="4" w:space="0"/>
              <w:right w:val="single" w:color="auto" w:sz="4" w:space="0"/>
            </w:tcBorders>
            <w:shd w:val="clear" w:color="auto" w:fill="auto"/>
            <w:noWrap/>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六、科学技术支出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19</w:t>
            </w:r>
          </w:p>
        </w:tc>
        <w:tc>
          <w:tcPr>
            <w:tcW w:w="3633" w:type="dxa"/>
            <w:gridSpan w:val="3"/>
            <w:tcBorders>
              <w:top w:val="nil"/>
              <w:left w:val="nil"/>
              <w:bottom w:val="single" w:color="auto" w:sz="4" w:space="0"/>
              <w:right w:val="single" w:color="auto" w:sz="4" w:space="0"/>
            </w:tcBorders>
            <w:shd w:val="clear" w:color="auto" w:fill="auto"/>
            <w:noWrap/>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7</w:t>
            </w:r>
          </w:p>
        </w:tc>
        <w:tc>
          <w:tcPr>
            <w:tcW w:w="1230" w:type="dxa"/>
            <w:gridSpan w:val="2"/>
            <w:tcBorders>
              <w:top w:val="nil"/>
              <w:left w:val="nil"/>
              <w:bottom w:val="single" w:color="auto" w:sz="4" w:space="0"/>
              <w:right w:val="single" w:color="auto" w:sz="4" w:space="0"/>
            </w:tcBorders>
            <w:shd w:val="clear" w:color="auto" w:fill="auto"/>
            <w:noWrap/>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2"/>
              </w:rPr>
              <w:t>七、文化旅游体育与传媒支出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20</w:t>
            </w:r>
          </w:p>
        </w:tc>
        <w:tc>
          <w:tcPr>
            <w:tcW w:w="3633" w:type="dxa"/>
            <w:gridSpan w:val="3"/>
            <w:tcBorders>
              <w:top w:val="nil"/>
              <w:left w:val="nil"/>
              <w:bottom w:val="single" w:color="auto" w:sz="4" w:space="0"/>
              <w:right w:val="single" w:color="auto" w:sz="4" w:space="0"/>
            </w:tcBorders>
            <w:shd w:val="clear" w:color="auto" w:fill="auto"/>
            <w:noWrap/>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344.27</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8</w:t>
            </w:r>
          </w:p>
        </w:tc>
        <w:tc>
          <w:tcPr>
            <w:tcW w:w="1230" w:type="dxa"/>
            <w:gridSpan w:val="2"/>
            <w:tcBorders>
              <w:top w:val="nil"/>
              <w:left w:val="nil"/>
              <w:bottom w:val="single" w:color="auto" w:sz="4" w:space="0"/>
              <w:right w:val="single" w:color="auto" w:sz="4" w:space="0"/>
            </w:tcBorders>
            <w:shd w:val="clear" w:color="auto" w:fill="auto"/>
            <w:noWrap/>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八、社会保障和就业支出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21</w:t>
            </w:r>
          </w:p>
        </w:tc>
        <w:tc>
          <w:tcPr>
            <w:tcW w:w="3633" w:type="dxa"/>
            <w:gridSpan w:val="3"/>
            <w:tcBorders>
              <w:top w:val="nil"/>
              <w:left w:val="nil"/>
              <w:bottom w:val="single" w:color="auto" w:sz="4" w:space="0"/>
              <w:right w:val="single" w:color="auto" w:sz="4" w:space="0"/>
            </w:tcBorders>
            <w:shd w:val="clear" w:color="auto" w:fill="auto"/>
            <w:noWrap/>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46.5</w:t>
            </w:r>
            <w:r>
              <w:rPr>
                <w:rFonts w:hint="default" w:ascii="Times New Roman" w:hAnsi="Times New Roman" w:eastAsia="宋体" w:cs="Times New Roman"/>
                <w:color w:val="auto"/>
                <w:kern w:val="0"/>
                <w:sz w:val="22"/>
              </w:rPr>
              <w:t>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　</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9</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2"/>
              </w:rPr>
              <w:t>九、住房保障支出　</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22</w:t>
            </w:r>
          </w:p>
        </w:tc>
        <w:tc>
          <w:tcPr>
            <w:tcW w:w="3633" w:type="dxa"/>
            <w:gridSpan w:val="3"/>
            <w:tcBorders>
              <w:top w:val="nil"/>
              <w:left w:val="nil"/>
              <w:bottom w:val="single" w:color="auto" w:sz="4" w:space="0"/>
              <w:right w:val="single" w:color="auto" w:sz="4" w:space="0"/>
            </w:tcBorders>
            <w:shd w:val="clear" w:color="auto" w:fill="auto"/>
            <w:noWrap/>
          </w:tcPr>
          <w:p>
            <w:pPr>
              <w:widowControl/>
              <w:jc w:val="center"/>
              <w:rPr>
                <w:rFonts w:hint="default" w:ascii="Times New Roman" w:hAnsi="Times New Roman" w:eastAsia="宋体" w:cs="Times New Roman"/>
                <w:b/>
                <w:bCs/>
                <w:color w:val="auto"/>
                <w:kern w:val="0"/>
                <w:sz w:val="22"/>
              </w:rPr>
            </w:pPr>
            <w:r>
              <w:rPr>
                <w:rFonts w:hint="default" w:ascii="Times New Roman" w:hAnsi="Times New Roman" w:eastAsia="宋体" w:cs="Times New Roman"/>
                <w:color w:val="auto"/>
                <w:kern w:val="0"/>
                <w:sz w:val="22"/>
              </w:rPr>
              <w:t>25</w:t>
            </w:r>
            <w:r>
              <w:rPr>
                <w:rFonts w:hint="default" w:ascii="Times New Roman" w:hAnsi="Times New Roman" w:eastAsia="宋体" w:cs="Times New Roman"/>
                <w:color w:val="auto"/>
                <w:kern w:val="0"/>
                <w:sz w:val="22"/>
              </w:rPr>
              <w:t>.00</w:t>
            </w:r>
          </w:p>
        </w:tc>
      </w:tr>
      <w:tr>
        <w:tblPrEx>
          <w:tblCellMar>
            <w:top w:w="0" w:type="dxa"/>
            <w:left w:w="108" w:type="dxa"/>
            <w:bottom w:w="0" w:type="dxa"/>
            <w:right w:w="108" w:type="dxa"/>
          </w:tblCellMar>
        </w:tblPrEx>
        <w:trPr>
          <w:trHeight w:val="9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b/>
                <w:bCs/>
                <w:color w:val="auto"/>
                <w:kern w:val="0"/>
                <w:sz w:val="22"/>
              </w:rPr>
            </w:pPr>
            <w:r>
              <w:rPr>
                <w:rFonts w:hint="default" w:ascii="Times New Roman" w:hAnsi="Times New Roman" w:eastAsia="宋体" w:cs="Times New Roman"/>
                <w:b/>
                <w:bCs/>
                <w:color w:val="auto"/>
                <w:kern w:val="0"/>
                <w:sz w:val="22"/>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10</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425.11</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b/>
                <w:bCs/>
                <w:color w:val="auto"/>
                <w:kern w:val="0"/>
                <w:sz w:val="22"/>
              </w:rPr>
            </w:pPr>
            <w:r>
              <w:rPr>
                <w:rFonts w:hint="default" w:ascii="Times New Roman" w:hAnsi="Times New Roman" w:eastAsia="宋体" w:cs="Times New Roman"/>
                <w:b/>
                <w:bCs/>
                <w:color w:val="auto"/>
                <w:kern w:val="0"/>
                <w:sz w:val="22"/>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23</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415.77</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 xml:space="preserve">         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11</w:t>
            </w:r>
          </w:p>
        </w:tc>
        <w:tc>
          <w:tcPr>
            <w:tcW w:w="1230" w:type="dxa"/>
            <w:gridSpan w:val="2"/>
            <w:tcBorders>
              <w:top w:val="nil"/>
              <w:left w:val="nil"/>
              <w:bottom w:val="single" w:color="auto" w:sz="4" w:space="0"/>
              <w:right w:val="single" w:color="auto" w:sz="4" w:space="0"/>
            </w:tcBorders>
            <w:shd w:val="clear" w:color="auto" w:fill="auto"/>
            <w:noWrap/>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 xml:space="preserve">                结余分配</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24</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0.00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 xml:space="preserve">         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12</w:t>
            </w:r>
          </w:p>
        </w:tc>
        <w:tc>
          <w:tcPr>
            <w:tcW w:w="1230" w:type="dxa"/>
            <w:gridSpan w:val="2"/>
            <w:tcBorders>
              <w:top w:val="nil"/>
              <w:left w:val="nil"/>
              <w:bottom w:val="single" w:color="auto" w:sz="4" w:space="0"/>
              <w:right w:val="single" w:color="auto" w:sz="4" w:space="0"/>
            </w:tcBorders>
            <w:shd w:val="clear" w:color="auto" w:fill="auto"/>
            <w:noWrap/>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 xml:space="preserve">                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25</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9.34</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b/>
                <w:bCs/>
                <w:color w:val="auto"/>
                <w:kern w:val="0"/>
                <w:sz w:val="22"/>
              </w:rPr>
            </w:pPr>
            <w:r>
              <w:rPr>
                <w:rFonts w:hint="default" w:ascii="Times New Roman" w:hAnsi="Times New Roman" w:eastAsia="宋体" w:cs="Times New Roman"/>
                <w:b/>
                <w:bCs/>
                <w:color w:val="auto"/>
                <w:kern w:val="0"/>
                <w:sz w:val="22"/>
              </w:rPr>
              <w:t>总计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13</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425.11</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b/>
                <w:bCs/>
                <w:color w:val="auto"/>
                <w:kern w:val="0"/>
                <w:sz w:val="22"/>
              </w:rPr>
            </w:pPr>
            <w:r>
              <w:rPr>
                <w:rFonts w:hint="default" w:ascii="Times New Roman" w:hAnsi="Times New Roman" w:eastAsia="宋体" w:cs="Times New Roman"/>
                <w:b/>
                <w:bCs/>
                <w:color w:val="auto"/>
                <w:kern w:val="0"/>
                <w:sz w:val="22"/>
              </w:rPr>
              <w:t>总计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26</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b/>
                <w:bCs/>
                <w:color w:val="auto"/>
                <w:kern w:val="0"/>
                <w:sz w:val="22"/>
              </w:rPr>
            </w:pPr>
            <w:r>
              <w:rPr>
                <w:rFonts w:hint="default" w:ascii="Times New Roman" w:hAnsi="Times New Roman" w:eastAsia="宋体" w:cs="Times New Roman"/>
                <w:color w:val="auto"/>
                <w:kern w:val="0"/>
                <w:sz w:val="22"/>
              </w:rPr>
              <w:t>425.11</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shd w:val="clear" w:color="auto" w:fill="auto"/>
            <w:vAlign w:val="center"/>
          </w:tcPr>
          <w:p>
            <w:pPr>
              <w:widowControl/>
              <w:jc w:val="lef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注：1.本表反映部门本年度的总收支和年末结转结余情况。</w:t>
            </w:r>
            <w:r>
              <w:rPr>
                <w:rFonts w:hint="default" w:ascii="Times New Roman" w:hAnsi="Times New Roman" w:eastAsia="宋体" w:cs="Times New Roman"/>
                <w:color w:val="auto"/>
                <w:kern w:val="0"/>
                <w:sz w:val="24"/>
                <w:szCs w:val="24"/>
              </w:rPr>
              <w:br w:type="textWrapping"/>
            </w:r>
            <w:r>
              <w:rPr>
                <w:rFonts w:hint="default" w:ascii="Times New Roman" w:hAnsi="Times New Roman" w:eastAsia="宋体" w:cs="Times New Roman"/>
                <w:color w:val="auto"/>
                <w:kern w:val="0"/>
                <w:sz w:val="24"/>
                <w:szCs w:val="24"/>
              </w:rPr>
              <w:t xml:space="preserve"> 2.本套报表金额单位转换时可能存在尾数误差。</w:t>
            </w:r>
          </w:p>
        </w:tc>
      </w:tr>
    </w:tbl>
    <w:p>
      <w:pPr>
        <w:jc w:val="center"/>
        <w:rPr>
          <w:rFonts w:hint="default" w:ascii="Times New Roman" w:hAnsi="Times New Roman" w:eastAsia="黑体" w:cs="Times New Roman"/>
          <w:color w:val="auto"/>
          <w:sz w:val="28"/>
          <w:szCs w:val="28"/>
        </w:rPr>
        <w:sectPr>
          <w:pgSz w:w="16838" w:h="11906" w:orient="landscape"/>
          <w:pgMar w:top="1797" w:right="1440" w:bottom="1797" w:left="1440" w:header="851" w:footer="992" w:gutter="0"/>
          <w:cols w:space="425" w:num="1"/>
          <w:docGrid w:type="linesAndChars" w:linePitch="312" w:charSpace="0"/>
        </w:sectPr>
      </w:pPr>
    </w:p>
    <w:tbl>
      <w:tblPr>
        <w:tblStyle w:val="7"/>
        <w:tblW w:w="15358" w:type="dxa"/>
        <w:tblInd w:w="0" w:type="dxa"/>
        <w:tblLayout w:type="fixed"/>
        <w:tblCellMar>
          <w:top w:w="0" w:type="dxa"/>
          <w:left w:w="0" w:type="dxa"/>
          <w:bottom w:w="0" w:type="dxa"/>
          <w:right w:w="0" w:type="dxa"/>
        </w:tblCellMar>
      </w:tblPr>
      <w:tblGrid>
        <w:gridCol w:w="548"/>
        <w:gridCol w:w="491"/>
        <w:gridCol w:w="4167"/>
        <w:gridCol w:w="2183"/>
        <w:gridCol w:w="1817"/>
        <w:gridCol w:w="1350"/>
        <w:gridCol w:w="1033"/>
        <w:gridCol w:w="1017"/>
        <w:gridCol w:w="1817"/>
        <w:gridCol w:w="935"/>
      </w:tblGrid>
      <w:tr>
        <w:tblPrEx>
          <w:tblCellMar>
            <w:top w:w="0" w:type="dxa"/>
            <w:left w:w="0" w:type="dxa"/>
            <w:bottom w:w="0" w:type="dxa"/>
            <w:right w:w="0" w:type="dxa"/>
          </w:tblCellMar>
        </w:tblPrEx>
        <w:trPr>
          <w:trHeight w:val="435" w:hRule="atLeast"/>
        </w:trPr>
        <w:tc>
          <w:tcPr>
            <w:tcW w:w="15358" w:type="dxa"/>
            <w:gridSpan w:val="10"/>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hint="default" w:ascii="Times New Roman" w:hAnsi="Times New Roman" w:eastAsia="华文中宋" w:cs="Times New Roman"/>
                <w:color w:val="auto"/>
                <w:sz w:val="32"/>
                <w:szCs w:val="32"/>
              </w:rPr>
            </w:pPr>
            <w:r>
              <w:rPr>
                <w:rFonts w:hint="default" w:ascii="Times New Roman" w:hAnsi="Times New Roman" w:eastAsia="华文中宋" w:cs="Times New Roman"/>
                <w:color w:val="auto"/>
                <w:sz w:val="32"/>
                <w:szCs w:val="32"/>
              </w:rPr>
              <w:t>收入决算表</w:t>
            </w:r>
          </w:p>
        </w:tc>
      </w:tr>
      <w:tr>
        <w:tblPrEx>
          <w:tblCellMar>
            <w:top w:w="0" w:type="dxa"/>
            <w:left w:w="0" w:type="dxa"/>
            <w:bottom w:w="0" w:type="dxa"/>
            <w:right w:w="0" w:type="dxa"/>
          </w:tblCellMar>
        </w:tblPrEx>
        <w:trPr>
          <w:trHeight w:val="377" w:hRule="atLeast"/>
        </w:trPr>
        <w:tc>
          <w:tcPr>
            <w:tcW w:w="548"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hint="default" w:ascii="Times New Roman" w:hAnsi="Times New Roman" w:eastAsia="宋体" w:cs="Times New Roman"/>
                <w:color w:val="auto"/>
                <w:sz w:val="24"/>
                <w:szCs w:val="24"/>
              </w:rPr>
            </w:pPr>
            <w:r>
              <w:rPr>
                <w:rFonts w:hint="default" w:ascii="Times New Roman" w:hAnsi="Times New Roman" w:cs="Times New Roman"/>
                <w:color w:val="auto"/>
              </w:rPr>
              <w:t>　</w:t>
            </w:r>
          </w:p>
        </w:tc>
        <w:tc>
          <w:tcPr>
            <w:tcW w:w="49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hint="default" w:ascii="Times New Roman" w:hAnsi="Times New Roman" w:eastAsia="宋体" w:cs="Times New Roman"/>
                <w:color w:val="auto"/>
                <w:sz w:val="24"/>
                <w:szCs w:val="24"/>
              </w:rPr>
            </w:pPr>
            <w:r>
              <w:rPr>
                <w:rFonts w:hint="default" w:ascii="Times New Roman" w:hAnsi="Times New Roman" w:cs="Times New Roman"/>
                <w:color w:val="auto"/>
              </w:rPr>
              <w:t>　</w:t>
            </w:r>
          </w:p>
        </w:tc>
        <w:tc>
          <w:tcPr>
            <w:tcW w:w="4167"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hint="default" w:ascii="Times New Roman" w:hAnsi="Times New Roman" w:eastAsia="宋体" w:cs="Times New Roman"/>
                <w:color w:val="auto"/>
                <w:sz w:val="24"/>
                <w:szCs w:val="24"/>
              </w:rPr>
            </w:pPr>
            <w:r>
              <w:rPr>
                <w:rFonts w:hint="default" w:ascii="Times New Roman" w:hAnsi="Times New Roman" w:cs="Times New Roman"/>
                <w:color w:val="auto"/>
              </w:rPr>
              <w:t>　</w:t>
            </w:r>
          </w:p>
        </w:tc>
        <w:tc>
          <w:tcPr>
            <w:tcW w:w="2183"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hint="default" w:ascii="Times New Roman" w:hAnsi="Times New Roman" w:eastAsia="宋体" w:cs="Times New Roman"/>
                <w:color w:val="auto"/>
                <w:sz w:val="24"/>
                <w:szCs w:val="24"/>
              </w:rPr>
            </w:pPr>
            <w:r>
              <w:rPr>
                <w:rFonts w:hint="default" w:ascii="Times New Roman" w:hAnsi="Times New Roman" w:cs="Times New Roman"/>
                <w:color w:val="auto"/>
              </w:rPr>
              <w:t>　</w:t>
            </w:r>
          </w:p>
        </w:tc>
        <w:tc>
          <w:tcPr>
            <w:tcW w:w="1817"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hint="default" w:ascii="Times New Roman" w:hAnsi="Times New Roman" w:eastAsia="宋体" w:cs="Times New Roman"/>
                <w:color w:val="auto"/>
                <w:sz w:val="24"/>
                <w:szCs w:val="24"/>
              </w:rPr>
            </w:pPr>
            <w:r>
              <w:rPr>
                <w:rFonts w:hint="default" w:ascii="Times New Roman" w:hAnsi="Times New Roman" w:cs="Times New Roman"/>
                <w:color w:val="auto"/>
              </w:rPr>
              <w:t>　</w:t>
            </w:r>
          </w:p>
        </w:tc>
        <w:tc>
          <w:tcPr>
            <w:tcW w:w="1350"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hint="default" w:ascii="Times New Roman" w:hAnsi="Times New Roman" w:eastAsia="宋体" w:cs="Times New Roman"/>
                <w:color w:val="auto"/>
                <w:sz w:val="24"/>
                <w:szCs w:val="24"/>
              </w:rPr>
            </w:pPr>
            <w:r>
              <w:rPr>
                <w:rFonts w:hint="default" w:ascii="Times New Roman" w:hAnsi="Times New Roman" w:cs="Times New Roman"/>
                <w:color w:val="auto"/>
              </w:rPr>
              <w:t>　</w:t>
            </w:r>
          </w:p>
        </w:tc>
        <w:tc>
          <w:tcPr>
            <w:tcW w:w="1033"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hint="default" w:ascii="Times New Roman" w:hAnsi="Times New Roman" w:eastAsia="宋体" w:cs="Times New Roman"/>
                <w:color w:val="auto"/>
                <w:sz w:val="24"/>
                <w:szCs w:val="24"/>
              </w:rPr>
            </w:pPr>
            <w:r>
              <w:rPr>
                <w:rFonts w:hint="default" w:ascii="Times New Roman" w:hAnsi="Times New Roman" w:cs="Times New Roman"/>
                <w:color w:val="auto"/>
              </w:rPr>
              <w:t>　</w:t>
            </w:r>
          </w:p>
        </w:tc>
        <w:tc>
          <w:tcPr>
            <w:tcW w:w="1017"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hint="default" w:ascii="Times New Roman" w:hAnsi="Times New Roman" w:eastAsia="宋体" w:cs="Times New Roman"/>
                <w:color w:val="auto"/>
                <w:sz w:val="24"/>
                <w:szCs w:val="24"/>
              </w:rPr>
            </w:pPr>
            <w:r>
              <w:rPr>
                <w:rFonts w:hint="default" w:ascii="Times New Roman" w:hAnsi="Times New Roman" w:cs="Times New Roman"/>
                <w:color w:val="auto"/>
              </w:rPr>
              <w:t>　</w:t>
            </w:r>
          </w:p>
        </w:tc>
        <w:tc>
          <w:tcPr>
            <w:tcW w:w="1817"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hint="default" w:ascii="Times New Roman" w:hAnsi="Times New Roman" w:eastAsia="宋体" w:cs="Times New Roman"/>
                <w:color w:val="auto"/>
                <w:sz w:val="24"/>
                <w:szCs w:val="24"/>
              </w:rPr>
            </w:pPr>
            <w:r>
              <w:rPr>
                <w:rFonts w:hint="default" w:ascii="Times New Roman" w:hAnsi="Times New Roman" w:cs="Times New Roman"/>
                <w:color w:val="auto"/>
              </w:rPr>
              <w:t>　</w:t>
            </w:r>
          </w:p>
        </w:tc>
        <w:tc>
          <w:tcPr>
            <w:tcW w:w="935"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hint="default" w:ascii="Times New Roman" w:hAnsi="Times New Roman" w:eastAsia="宋体" w:cs="Times New Roman"/>
                <w:color w:val="auto"/>
                <w:sz w:val="20"/>
                <w:szCs w:val="20"/>
              </w:rPr>
            </w:pPr>
            <w:r>
              <w:rPr>
                <w:rFonts w:hint="default" w:ascii="Times New Roman" w:hAnsi="Times New Roman" w:cs="Times New Roman"/>
                <w:color w:val="auto"/>
                <w:sz w:val="20"/>
                <w:szCs w:val="20"/>
              </w:rPr>
              <w:t>公开02表</w:t>
            </w:r>
          </w:p>
        </w:tc>
      </w:tr>
      <w:tr>
        <w:tblPrEx>
          <w:tblCellMar>
            <w:top w:w="0" w:type="dxa"/>
            <w:left w:w="0" w:type="dxa"/>
            <w:bottom w:w="0" w:type="dxa"/>
            <w:right w:w="0" w:type="dxa"/>
          </w:tblCellMar>
        </w:tblPrEx>
        <w:trPr>
          <w:trHeight w:val="285" w:hRule="atLeast"/>
        </w:trPr>
        <w:tc>
          <w:tcPr>
            <w:tcW w:w="1039"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rPr>
                <w:rFonts w:hint="default" w:ascii="Times New Roman" w:hAnsi="Times New Roman" w:eastAsia="宋体" w:cs="Times New Roman"/>
                <w:color w:val="auto"/>
                <w:sz w:val="20"/>
                <w:szCs w:val="20"/>
              </w:rPr>
            </w:pPr>
            <w:r>
              <w:rPr>
                <w:rFonts w:hint="default" w:ascii="Times New Roman" w:hAnsi="Times New Roman" w:cs="Times New Roman"/>
                <w:color w:val="auto"/>
                <w:sz w:val="20"/>
                <w:szCs w:val="20"/>
              </w:rPr>
              <w:t>部门：</w:t>
            </w:r>
          </w:p>
        </w:tc>
        <w:tc>
          <w:tcPr>
            <w:tcW w:w="4167" w:type="dxa"/>
            <w:tcBorders>
              <w:top w:val="nil"/>
              <w:left w:val="nil"/>
              <w:bottom w:val="nil"/>
              <w:right w:val="nil"/>
            </w:tcBorders>
            <w:shd w:val="clear" w:color="000000" w:fill="FFFFFF"/>
            <w:noWrap/>
            <w:tcMar>
              <w:top w:w="15" w:type="dxa"/>
              <w:left w:w="15" w:type="dxa"/>
              <w:bottom w:w="0" w:type="dxa"/>
              <w:right w:w="15" w:type="dxa"/>
            </w:tcMar>
            <w:vAlign w:val="center"/>
          </w:tcPr>
          <w:p>
            <w:pPr>
              <w:tabs>
                <w:tab w:val="left" w:pos="319"/>
                <w:tab w:val="right" w:pos="4467"/>
              </w:tabs>
              <w:jc w:val="left"/>
              <w:rPr>
                <w:rFonts w:hint="default" w:ascii="Times New Roman" w:hAnsi="Times New Roman" w:eastAsia="宋体" w:cs="Times New Roman"/>
                <w:color w:val="auto"/>
                <w:sz w:val="24"/>
                <w:szCs w:val="24"/>
              </w:rPr>
            </w:pPr>
            <w:r>
              <w:rPr>
                <w:rFonts w:hint="default" w:ascii="Times New Roman" w:hAnsi="Times New Roman" w:cs="Times New Roman"/>
                <w:color w:val="auto"/>
              </w:rPr>
              <w:tab/>
            </w:r>
            <w:r>
              <w:rPr>
                <w:rFonts w:hint="default" w:ascii="Times New Roman" w:hAnsi="Times New Roman" w:eastAsia="宋体" w:cs="Times New Roman"/>
                <w:color w:val="auto"/>
                <w:kern w:val="0"/>
                <w:sz w:val="20"/>
                <w:szCs w:val="20"/>
              </w:rPr>
              <w:t>湖南省新闻出版广电局岳阳中波转播台</w:t>
            </w:r>
            <w:r>
              <w:rPr>
                <w:rFonts w:hint="default" w:ascii="Times New Roman" w:hAnsi="Times New Roman" w:cs="Times New Roman"/>
                <w:color w:val="auto"/>
              </w:rPr>
              <w:tab/>
            </w:r>
            <w:r>
              <w:rPr>
                <w:rFonts w:hint="default" w:ascii="Times New Roman" w:hAnsi="Times New Roman" w:cs="Times New Roman"/>
                <w:color w:val="auto"/>
              </w:rPr>
              <w:t>　</w:t>
            </w:r>
          </w:p>
        </w:tc>
        <w:tc>
          <w:tcPr>
            <w:tcW w:w="2183"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hint="default" w:ascii="Times New Roman" w:hAnsi="Times New Roman" w:eastAsia="宋体" w:cs="Times New Roman"/>
                <w:color w:val="auto"/>
                <w:sz w:val="24"/>
                <w:szCs w:val="24"/>
              </w:rPr>
            </w:pPr>
            <w:r>
              <w:rPr>
                <w:rFonts w:hint="default" w:ascii="Times New Roman" w:hAnsi="Times New Roman" w:cs="Times New Roman"/>
                <w:color w:val="auto"/>
              </w:rPr>
              <w:t>　</w:t>
            </w:r>
          </w:p>
        </w:tc>
        <w:tc>
          <w:tcPr>
            <w:tcW w:w="1817"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hint="default" w:ascii="Times New Roman" w:hAnsi="Times New Roman" w:eastAsia="宋体" w:cs="Times New Roman"/>
                <w:color w:val="auto"/>
                <w:sz w:val="24"/>
                <w:szCs w:val="24"/>
              </w:rPr>
            </w:pPr>
            <w:r>
              <w:rPr>
                <w:rFonts w:hint="default" w:ascii="Times New Roman" w:hAnsi="Times New Roman" w:cs="Times New Roman"/>
                <w:color w:val="auto"/>
              </w:rPr>
              <w:t>　</w:t>
            </w:r>
          </w:p>
        </w:tc>
        <w:tc>
          <w:tcPr>
            <w:tcW w:w="1350" w:type="dxa"/>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hint="default" w:ascii="Times New Roman" w:hAnsi="Times New Roman" w:eastAsia="宋体" w:cs="Times New Roman"/>
                <w:color w:val="auto"/>
                <w:sz w:val="20"/>
                <w:szCs w:val="20"/>
              </w:rPr>
            </w:pPr>
            <w:r>
              <w:rPr>
                <w:rFonts w:hint="default" w:ascii="Times New Roman" w:hAnsi="Times New Roman" w:cs="Times New Roman"/>
                <w:color w:val="auto"/>
                <w:sz w:val="20"/>
                <w:szCs w:val="20"/>
              </w:rPr>
              <w:t>　</w:t>
            </w:r>
          </w:p>
        </w:tc>
        <w:tc>
          <w:tcPr>
            <w:tcW w:w="1033"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hint="default" w:ascii="Times New Roman" w:hAnsi="Times New Roman" w:eastAsia="宋体" w:cs="Times New Roman"/>
                <w:color w:val="auto"/>
                <w:sz w:val="24"/>
                <w:szCs w:val="24"/>
              </w:rPr>
            </w:pPr>
            <w:r>
              <w:rPr>
                <w:rFonts w:hint="default" w:ascii="Times New Roman" w:hAnsi="Times New Roman" w:cs="Times New Roman"/>
                <w:color w:val="auto"/>
              </w:rPr>
              <w:t>　</w:t>
            </w:r>
          </w:p>
        </w:tc>
        <w:tc>
          <w:tcPr>
            <w:tcW w:w="1017"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hint="default" w:ascii="Times New Roman" w:hAnsi="Times New Roman" w:eastAsia="宋体" w:cs="Times New Roman"/>
                <w:color w:val="auto"/>
                <w:sz w:val="24"/>
                <w:szCs w:val="24"/>
              </w:rPr>
            </w:pPr>
            <w:r>
              <w:rPr>
                <w:rFonts w:hint="default" w:ascii="Times New Roman" w:hAnsi="Times New Roman" w:cs="Times New Roman"/>
                <w:color w:val="auto"/>
              </w:rPr>
              <w:t>　</w:t>
            </w:r>
          </w:p>
        </w:tc>
        <w:tc>
          <w:tcPr>
            <w:tcW w:w="1817"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hint="default" w:ascii="Times New Roman" w:hAnsi="Times New Roman" w:eastAsia="宋体" w:cs="Times New Roman"/>
                <w:color w:val="auto"/>
                <w:sz w:val="24"/>
                <w:szCs w:val="24"/>
              </w:rPr>
            </w:pPr>
            <w:r>
              <w:rPr>
                <w:rFonts w:hint="default" w:ascii="Times New Roman" w:hAnsi="Times New Roman" w:cs="Times New Roman"/>
                <w:color w:val="auto"/>
              </w:rPr>
              <w:t>　</w:t>
            </w:r>
          </w:p>
        </w:tc>
        <w:tc>
          <w:tcPr>
            <w:tcW w:w="935"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hint="default" w:ascii="Times New Roman" w:hAnsi="Times New Roman" w:eastAsia="宋体" w:cs="Times New Roman"/>
                <w:color w:val="auto"/>
                <w:sz w:val="20"/>
                <w:szCs w:val="20"/>
              </w:rPr>
            </w:pPr>
            <w:r>
              <w:rPr>
                <w:rFonts w:hint="default" w:ascii="Times New Roman" w:hAnsi="Times New Roman" w:cs="Times New Roman"/>
                <w:color w:val="auto"/>
                <w:sz w:val="20"/>
                <w:szCs w:val="20"/>
              </w:rPr>
              <w:t>单位：万元</w:t>
            </w:r>
          </w:p>
        </w:tc>
      </w:tr>
      <w:tr>
        <w:tblPrEx>
          <w:tblCellMar>
            <w:top w:w="0" w:type="dxa"/>
            <w:left w:w="0" w:type="dxa"/>
            <w:bottom w:w="0" w:type="dxa"/>
            <w:right w:w="0" w:type="dxa"/>
          </w:tblCellMar>
        </w:tblPrEx>
        <w:trPr>
          <w:trHeight w:val="450" w:hRule="atLeast"/>
        </w:trPr>
        <w:tc>
          <w:tcPr>
            <w:tcW w:w="5206"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hint="default" w:ascii="Times New Roman" w:hAnsi="Times New Roman" w:eastAsia="宋体" w:cs="Times New Roman"/>
                <w:color w:val="auto"/>
                <w:sz w:val="24"/>
                <w:szCs w:val="24"/>
              </w:rPr>
            </w:pPr>
            <w:r>
              <w:rPr>
                <w:rFonts w:hint="default" w:ascii="Times New Roman" w:hAnsi="Times New Roman" w:cs="Times New Roman"/>
                <w:color w:val="auto"/>
              </w:rPr>
              <w:t>项    目</w:t>
            </w:r>
          </w:p>
        </w:tc>
        <w:tc>
          <w:tcPr>
            <w:tcW w:w="2183"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hint="default" w:ascii="Times New Roman" w:hAnsi="Times New Roman" w:eastAsia="宋体" w:cs="Times New Roman"/>
                <w:color w:val="auto"/>
                <w:sz w:val="24"/>
                <w:szCs w:val="24"/>
              </w:rPr>
            </w:pPr>
            <w:r>
              <w:rPr>
                <w:rFonts w:hint="default" w:ascii="Times New Roman" w:hAnsi="Times New Roman" w:cs="Times New Roman"/>
                <w:color w:val="auto"/>
              </w:rPr>
              <w:t>本年收入合计</w:t>
            </w:r>
          </w:p>
        </w:tc>
        <w:tc>
          <w:tcPr>
            <w:tcW w:w="1817"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Times New Roman" w:hAnsi="Times New Roman" w:eastAsia="宋体" w:cs="Times New Roman"/>
                <w:color w:val="auto"/>
                <w:sz w:val="24"/>
                <w:szCs w:val="24"/>
              </w:rPr>
            </w:pPr>
            <w:r>
              <w:rPr>
                <w:rFonts w:hint="default" w:ascii="Times New Roman" w:hAnsi="Times New Roman" w:cs="Times New Roman"/>
                <w:color w:val="auto"/>
              </w:rPr>
              <w:t>财政拨款收入</w:t>
            </w:r>
          </w:p>
        </w:tc>
        <w:tc>
          <w:tcPr>
            <w:tcW w:w="135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hint="default" w:ascii="Times New Roman" w:hAnsi="Times New Roman" w:eastAsia="宋体" w:cs="Times New Roman"/>
                <w:color w:val="auto"/>
                <w:sz w:val="24"/>
                <w:szCs w:val="24"/>
              </w:rPr>
            </w:pPr>
            <w:r>
              <w:rPr>
                <w:rFonts w:hint="default" w:ascii="Times New Roman" w:hAnsi="Times New Roman" w:cs="Times New Roman"/>
                <w:color w:val="auto"/>
              </w:rPr>
              <w:t>上级补助收入</w:t>
            </w:r>
          </w:p>
        </w:tc>
        <w:tc>
          <w:tcPr>
            <w:tcW w:w="1033"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hint="default" w:ascii="Times New Roman" w:hAnsi="Times New Roman" w:eastAsia="宋体" w:cs="Times New Roman"/>
                <w:color w:val="auto"/>
                <w:sz w:val="24"/>
                <w:szCs w:val="24"/>
              </w:rPr>
            </w:pPr>
            <w:r>
              <w:rPr>
                <w:rFonts w:hint="default" w:ascii="Times New Roman" w:hAnsi="Times New Roman" w:cs="Times New Roman"/>
                <w:color w:val="auto"/>
              </w:rPr>
              <w:t>事业收入</w:t>
            </w:r>
          </w:p>
        </w:tc>
        <w:tc>
          <w:tcPr>
            <w:tcW w:w="1017"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hint="default" w:ascii="Times New Roman" w:hAnsi="Times New Roman" w:eastAsia="宋体" w:cs="Times New Roman"/>
                <w:color w:val="auto"/>
                <w:sz w:val="24"/>
                <w:szCs w:val="24"/>
              </w:rPr>
            </w:pPr>
            <w:r>
              <w:rPr>
                <w:rFonts w:hint="default" w:ascii="Times New Roman" w:hAnsi="Times New Roman" w:cs="Times New Roman"/>
                <w:color w:val="auto"/>
              </w:rPr>
              <w:t>经营收入</w:t>
            </w:r>
          </w:p>
        </w:tc>
        <w:tc>
          <w:tcPr>
            <w:tcW w:w="1817"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hint="default" w:ascii="Times New Roman" w:hAnsi="Times New Roman" w:eastAsia="宋体" w:cs="Times New Roman"/>
                <w:color w:val="auto"/>
                <w:sz w:val="24"/>
                <w:szCs w:val="24"/>
              </w:rPr>
            </w:pPr>
            <w:r>
              <w:rPr>
                <w:rFonts w:hint="default" w:ascii="Times New Roman" w:hAnsi="Times New Roman" w:cs="Times New Roman"/>
                <w:color w:val="auto"/>
              </w:rPr>
              <w:t>附属单位上缴收入</w:t>
            </w:r>
          </w:p>
        </w:tc>
        <w:tc>
          <w:tcPr>
            <w:tcW w:w="935"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hint="default" w:ascii="Times New Roman" w:hAnsi="Times New Roman" w:eastAsia="宋体" w:cs="Times New Roman"/>
                <w:color w:val="auto"/>
                <w:sz w:val="24"/>
                <w:szCs w:val="24"/>
              </w:rPr>
            </w:pPr>
            <w:r>
              <w:rPr>
                <w:rFonts w:hint="default" w:ascii="Times New Roman" w:hAnsi="Times New Roman" w:cs="Times New Roman"/>
                <w:color w:val="auto"/>
              </w:rPr>
              <w:t>其他收入</w:t>
            </w:r>
          </w:p>
        </w:tc>
      </w:tr>
      <w:tr>
        <w:tblPrEx>
          <w:tblCellMar>
            <w:top w:w="0" w:type="dxa"/>
            <w:left w:w="0" w:type="dxa"/>
            <w:bottom w:w="0" w:type="dxa"/>
            <w:right w:w="0" w:type="dxa"/>
          </w:tblCellMar>
        </w:tblPrEx>
        <w:trPr>
          <w:trHeight w:val="450" w:hRule="atLeast"/>
        </w:trPr>
        <w:tc>
          <w:tcPr>
            <w:tcW w:w="1039"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hint="default" w:ascii="Times New Roman" w:hAnsi="Times New Roman" w:eastAsia="宋体" w:cs="Times New Roman"/>
                <w:color w:val="auto"/>
                <w:sz w:val="24"/>
                <w:szCs w:val="24"/>
              </w:rPr>
            </w:pPr>
            <w:r>
              <w:rPr>
                <w:rFonts w:hint="default" w:ascii="Times New Roman" w:hAnsi="Times New Roman" w:cs="Times New Roman"/>
                <w:color w:val="auto"/>
              </w:rPr>
              <w:t>功能分类科目编码</w:t>
            </w:r>
          </w:p>
        </w:tc>
        <w:tc>
          <w:tcPr>
            <w:tcW w:w="4167"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hint="default" w:ascii="Times New Roman" w:hAnsi="Times New Roman" w:eastAsia="宋体" w:cs="Times New Roman"/>
                <w:color w:val="auto"/>
                <w:sz w:val="24"/>
                <w:szCs w:val="24"/>
              </w:rPr>
            </w:pPr>
            <w:r>
              <w:rPr>
                <w:rFonts w:hint="default" w:ascii="Times New Roman" w:hAnsi="Times New Roman" w:cs="Times New Roman"/>
                <w:color w:val="auto"/>
              </w:rPr>
              <w:t>科目名称</w:t>
            </w:r>
          </w:p>
        </w:tc>
        <w:tc>
          <w:tcPr>
            <w:tcW w:w="2183"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color w:val="auto"/>
                <w:sz w:val="24"/>
                <w:szCs w:val="24"/>
              </w:rPr>
            </w:pPr>
          </w:p>
        </w:tc>
        <w:tc>
          <w:tcPr>
            <w:tcW w:w="1817"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color w:val="auto"/>
                <w:sz w:val="24"/>
                <w:szCs w:val="24"/>
              </w:rPr>
            </w:pPr>
          </w:p>
        </w:tc>
        <w:tc>
          <w:tcPr>
            <w:tcW w:w="1350"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color w:val="auto"/>
                <w:sz w:val="24"/>
                <w:szCs w:val="24"/>
              </w:rPr>
            </w:pPr>
          </w:p>
        </w:tc>
        <w:tc>
          <w:tcPr>
            <w:tcW w:w="1033"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color w:val="auto"/>
                <w:sz w:val="24"/>
                <w:szCs w:val="24"/>
              </w:rPr>
            </w:pPr>
          </w:p>
        </w:tc>
        <w:tc>
          <w:tcPr>
            <w:tcW w:w="1017"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color w:val="auto"/>
                <w:sz w:val="24"/>
                <w:szCs w:val="24"/>
              </w:rPr>
            </w:pPr>
          </w:p>
        </w:tc>
        <w:tc>
          <w:tcPr>
            <w:tcW w:w="1817"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color w:val="auto"/>
                <w:sz w:val="24"/>
                <w:szCs w:val="24"/>
              </w:rPr>
            </w:pPr>
          </w:p>
        </w:tc>
        <w:tc>
          <w:tcPr>
            <w:tcW w:w="935"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color w:val="auto"/>
                <w:sz w:val="24"/>
                <w:szCs w:val="24"/>
              </w:rPr>
            </w:pPr>
          </w:p>
        </w:tc>
      </w:tr>
      <w:tr>
        <w:tblPrEx>
          <w:tblCellMar>
            <w:top w:w="0" w:type="dxa"/>
            <w:left w:w="0" w:type="dxa"/>
            <w:bottom w:w="0" w:type="dxa"/>
            <w:right w:w="0" w:type="dxa"/>
          </w:tblCellMar>
        </w:tblPrEx>
        <w:trPr>
          <w:trHeight w:val="450" w:hRule="atLeast"/>
        </w:trPr>
        <w:tc>
          <w:tcPr>
            <w:tcW w:w="1039"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color w:val="auto"/>
                <w:sz w:val="24"/>
                <w:szCs w:val="24"/>
              </w:rPr>
            </w:pPr>
          </w:p>
        </w:tc>
        <w:tc>
          <w:tcPr>
            <w:tcW w:w="4167" w:type="dxa"/>
            <w:vMerge w:val="continue"/>
            <w:tcBorders>
              <w:top w:val="nil"/>
              <w:left w:val="single" w:color="auto" w:sz="4" w:space="0"/>
              <w:bottom w:val="single" w:color="auto" w:sz="4" w:space="0"/>
              <w:right w:val="single" w:color="auto" w:sz="4" w:space="0"/>
            </w:tcBorders>
            <w:vAlign w:val="center"/>
          </w:tcPr>
          <w:p>
            <w:pPr>
              <w:rPr>
                <w:rFonts w:hint="default" w:ascii="Times New Roman" w:hAnsi="Times New Roman" w:eastAsia="宋体" w:cs="Times New Roman"/>
                <w:color w:val="auto"/>
                <w:sz w:val="24"/>
                <w:szCs w:val="24"/>
              </w:rPr>
            </w:pPr>
          </w:p>
        </w:tc>
        <w:tc>
          <w:tcPr>
            <w:tcW w:w="2183"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color w:val="auto"/>
                <w:sz w:val="24"/>
                <w:szCs w:val="24"/>
              </w:rPr>
            </w:pPr>
          </w:p>
        </w:tc>
        <w:tc>
          <w:tcPr>
            <w:tcW w:w="1817"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color w:val="auto"/>
                <w:sz w:val="24"/>
                <w:szCs w:val="24"/>
              </w:rPr>
            </w:pPr>
          </w:p>
        </w:tc>
        <w:tc>
          <w:tcPr>
            <w:tcW w:w="1350"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color w:val="auto"/>
                <w:sz w:val="24"/>
                <w:szCs w:val="24"/>
              </w:rPr>
            </w:pPr>
          </w:p>
        </w:tc>
        <w:tc>
          <w:tcPr>
            <w:tcW w:w="1033"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color w:val="auto"/>
                <w:sz w:val="24"/>
                <w:szCs w:val="24"/>
              </w:rPr>
            </w:pPr>
          </w:p>
        </w:tc>
        <w:tc>
          <w:tcPr>
            <w:tcW w:w="1017"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color w:val="auto"/>
                <w:sz w:val="24"/>
                <w:szCs w:val="24"/>
              </w:rPr>
            </w:pPr>
          </w:p>
        </w:tc>
        <w:tc>
          <w:tcPr>
            <w:tcW w:w="1817"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color w:val="auto"/>
                <w:sz w:val="24"/>
                <w:szCs w:val="24"/>
              </w:rPr>
            </w:pPr>
          </w:p>
        </w:tc>
        <w:tc>
          <w:tcPr>
            <w:tcW w:w="935"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color w:val="auto"/>
                <w:sz w:val="24"/>
                <w:szCs w:val="24"/>
              </w:rPr>
            </w:pPr>
          </w:p>
        </w:tc>
      </w:tr>
      <w:tr>
        <w:tblPrEx>
          <w:tblCellMar>
            <w:top w:w="0" w:type="dxa"/>
            <w:left w:w="0" w:type="dxa"/>
            <w:bottom w:w="0" w:type="dxa"/>
            <w:right w:w="0" w:type="dxa"/>
          </w:tblCellMar>
        </w:tblPrEx>
        <w:trPr>
          <w:trHeight w:val="450" w:hRule="atLeast"/>
        </w:trPr>
        <w:tc>
          <w:tcPr>
            <w:tcW w:w="5206"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hint="default" w:ascii="Times New Roman" w:hAnsi="Times New Roman" w:eastAsia="宋体" w:cs="Times New Roman"/>
                <w:color w:val="auto"/>
                <w:sz w:val="24"/>
                <w:szCs w:val="24"/>
              </w:rPr>
            </w:pPr>
            <w:r>
              <w:rPr>
                <w:rFonts w:hint="default" w:ascii="Times New Roman" w:hAnsi="Times New Roman" w:cs="Times New Roman"/>
                <w:color w:val="auto"/>
              </w:rPr>
              <w:t>栏次</w:t>
            </w:r>
          </w:p>
        </w:tc>
        <w:tc>
          <w:tcPr>
            <w:tcW w:w="2183"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hint="default" w:ascii="Times New Roman" w:hAnsi="Times New Roman" w:eastAsia="宋体" w:cs="Times New Roman"/>
                <w:color w:val="auto"/>
                <w:sz w:val="24"/>
                <w:szCs w:val="24"/>
              </w:rPr>
            </w:pPr>
            <w:r>
              <w:rPr>
                <w:rFonts w:hint="default" w:ascii="Times New Roman" w:hAnsi="Times New Roman" w:cs="Times New Roman"/>
                <w:color w:val="auto"/>
              </w:rPr>
              <w:t>1</w:t>
            </w:r>
          </w:p>
        </w:tc>
        <w:tc>
          <w:tcPr>
            <w:tcW w:w="1817"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hint="default" w:ascii="Times New Roman" w:hAnsi="Times New Roman" w:eastAsia="宋体" w:cs="Times New Roman"/>
                <w:color w:val="auto"/>
                <w:sz w:val="24"/>
                <w:szCs w:val="24"/>
              </w:rPr>
            </w:pPr>
            <w:r>
              <w:rPr>
                <w:rFonts w:hint="default" w:ascii="Times New Roman" w:hAnsi="Times New Roman" w:cs="Times New Roman"/>
                <w:color w:val="auto"/>
              </w:rPr>
              <w:t>2</w:t>
            </w:r>
          </w:p>
        </w:tc>
        <w:tc>
          <w:tcPr>
            <w:tcW w:w="135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hint="default" w:ascii="Times New Roman" w:hAnsi="Times New Roman" w:eastAsia="宋体" w:cs="Times New Roman"/>
                <w:color w:val="auto"/>
                <w:sz w:val="24"/>
                <w:szCs w:val="24"/>
              </w:rPr>
            </w:pPr>
            <w:r>
              <w:rPr>
                <w:rFonts w:hint="default" w:ascii="Times New Roman" w:hAnsi="Times New Roman" w:cs="Times New Roman"/>
                <w:color w:val="auto"/>
              </w:rPr>
              <w:t>3</w:t>
            </w:r>
          </w:p>
        </w:tc>
        <w:tc>
          <w:tcPr>
            <w:tcW w:w="1033"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hint="default" w:ascii="Times New Roman" w:hAnsi="Times New Roman" w:eastAsia="宋体" w:cs="Times New Roman"/>
                <w:color w:val="auto"/>
                <w:sz w:val="24"/>
                <w:szCs w:val="24"/>
              </w:rPr>
            </w:pPr>
            <w:r>
              <w:rPr>
                <w:rFonts w:hint="default" w:ascii="Times New Roman" w:hAnsi="Times New Roman" w:cs="Times New Roman"/>
                <w:color w:val="auto"/>
              </w:rPr>
              <w:t>4</w:t>
            </w:r>
          </w:p>
        </w:tc>
        <w:tc>
          <w:tcPr>
            <w:tcW w:w="1017"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hint="default" w:ascii="Times New Roman" w:hAnsi="Times New Roman" w:eastAsia="宋体" w:cs="Times New Roman"/>
                <w:color w:val="auto"/>
                <w:sz w:val="24"/>
                <w:szCs w:val="24"/>
              </w:rPr>
            </w:pPr>
            <w:r>
              <w:rPr>
                <w:rFonts w:hint="default" w:ascii="Times New Roman" w:hAnsi="Times New Roman" w:cs="Times New Roman"/>
                <w:color w:val="auto"/>
              </w:rPr>
              <w:t>5</w:t>
            </w:r>
          </w:p>
        </w:tc>
        <w:tc>
          <w:tcPr>
            <w:tcW w:w="1817"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hint="default" w:ascii="Times New Roman" w:hAnsi="Times New Roman" w:eastAsia="宋体" w:cs="Times New Roman"/>
                <w:color w:val="auto"/>
                <w:sz w:val="24"/>
                <w:szCs w:val="24"/>
              </w:rPr>
            </w:pPr>
            <w:r>
              <w:rPr>
                <w:rFonts w:hint="default" w:ascii="Times New Roman" w:hAnsi="Times New Roman" w:cs="Times New Roman"/>
                <w:color w:val="auto"/>
              </w:rPr>
              <w:t>6</w:t>
            </w:r>
          </w:p>
        </w:tc>
        <w:tc>
          <w:tcPr>
            <w:tcW w:w="935"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hint="default" w:ascii="Times New Roman" w:hAnsi="Times New Roman" w:eastAsia="宋体" w:cs="Times New Roman"/>
                <w:color w:val="auto"/>
                <w:sz w:val="24"/>
                <w:szCs w:val="24"/>
              </w:rPr>
            </w:pPr>
            <w:r>
              <w:rPr>
                <w:rFonts w:hint="default" w:ascii="Times New Roman" w:hAnsi="Times New Roman" w:cs="Times New Roman"/>
                <w:color w:val="auto"/>
              </w:rPr>
              <w:t>7</w:t>
            </w:r>
          </w:p>
        </w:tc>
      </w:tr>
      <w:tr>
        <w:tblPrEx>
          <w:tblCellMar>
            <w:top w:w="0" w:type="dxa"/>
            <w:left w:w="0" w:type="dxa"/>
            <w:bottom w:w="0" w:type="dxa"/>
            <w:right w:w="0" w:type="dxa"/>
          </w:tblCellMar>
        </w:tblPrEx>
        <w:trPr>
          <w:trHeight w:val="450" w:hRule="atLeast"/>
        </w:trPr>
        <w:tc>
          <w:tcPr>
            <w:tcW w:w="5206"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hint="default" w:ascii="Times New Roman" w:hAnsi="Times New Roman" w:eastAsia="宋体" w:cs="Times New Roman"/>
                <w:color w:val="auto"/>
                <w:sz w:val="24"/>
                <w:szCs w:val="24"/>
              </w:rPr>
            </w:pPr>
            <w:r>
              <w:rPr>
                <w:rFonts w:hint="default" w:ascii="Times New Roman" w:hAnsi="Times New Roman" w:cs="Times New Roman"/>
                <w:color w:val="auto"/>
              </w:rPr>
              <w:t>合计</w:t>
            </w:r>
          </w:p>
        </w:tc>
        <w:tc>
          <w:tcPr>
            <w:tcW w:w="218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default" w:ascii="Times New Roman" w:hAnsi="Times New Roman" w:eastAsia="宋体" w:cs="Times New Roman"/>
                <w:color w:val="auto"/>
                <w:sz w:val="24"/>
                <w:szCs w:val="24"/>
              </w:rPr>
            </w:pPr>
            <w:r>
              <w:rPr>
                <w:rFonts w:hint="default" w:ascii="Times New Roman" w:hAnsi="Times New Roman" w:cs="Times New Roman"/>
                <w:color w:val="auto"/>
              </w:rPr>
              <w:t>425.11</w:t>
            </w:r>
          </w:p>
        </w:tc>
        <w:tc>
          <w:tcPr>
            <w:tcW w:w="181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default" w:ascii="Times New Roman" w:hAnsi="Times New Roman" w:eastAsia="宋体" w:cs="Times New Roman"/>
                <w:color w:val="auto"/>
                <w:sz w:val="24"/>
                <w:szCs w:val="24"/>
              </w:rPr>
            </w:pPr>
            <w:r>
              <w:rPr>
                <w:rFonts w:hint="default" w:ascii="Times New Roman" w:hAnsi="Times New Roman" w:cs="Times New Roman"/>
                <w:color w:val="auto"/>
              </w:rPr>
              <w:t>425.11</w:t>
            </w:r>
          </w:p>
        </w:tc>
        <w:tc>
          <w:tcPr>
            <w:tcW w:w="135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c>
          <w:tcPr>
            <w:tcW w:w="103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c>
          <w:tcPr>
            <w:tcW w:w="101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c>
          <w:tcPr>
            <w:tcW w:w="181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c>
          <w:tcPr>
            <w:tcW w:w="93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r>
      <w:tr>
        <w:tblPrEx>
          <w:tblCellMar>
            <w:top w:w="0" w:type="dxa"/>
            <w:left w:w="0" w:type="dxa"/>
            <w:bottom w:w="0" w:type="dxa"/>
            <w:right w:w="0" w:type="dxa"/>
          </w:tblCellMar>
        </w:tblPrEx>
        <w:trPr>
          <w:trHeight w:val="450" w:hRule="atLeast"/>
        </w:trPr>
        <w:tc>
          <w:tcPr>
            <w:tcW w:w="1039"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ascii="Times New Roman" w:hAnsi="Times New Roman" w:eastAsia="宋体" w:cs="Times New Roman"/>
                <w:color w:val="auto"/>
                <w:sz w:val="24"/>
                <w:szCs w:val="24"/>
              </w:rPr>
            </w:pPr>
            <w:r>
              <w:rPr>
                <w:rFonts w:hint="default" w:ascii="Times New Roman" w:hAnsi="Times New Roman" w:cs="Times New Roman"/>
                <w:color w:val="auto"/>
              </w:rPr>
              <w:t>　207</w:t>
            </w:r>
          </w:p>
        </w:tc>
        <w:tc>
          <w:tcPr>
            <w:tcW w:w="4167"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ascii="Times New Roman" w:hAnsi="Times New Roman" w:eastAsia="宋体" w:cs="Times New Roman"/>
                <w:color w:val="auto"/>
                <w:sz w:val="24"/>
                <w:szCs w:val="24"/>
              </w:rPr>
            </w:pPr>
            <w:r>
              <w:rPr>
                <w:rFonts w:hint="default" w:ascii="Times New Roman" w:hAnsi="Times New Roman" w:cs="Times New Roman"/>
                <w:color w:val="auto"/>
              </w:rPr>
              <w:t>　文化旅游体育与传媒支出</w:t>
            </w:r>
          </w:p>
        </w:tc>
        <w:tc>
          <w:tcPr>
            <w:tcW w:w="218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default" w:ascii="Times New Roman" w:hAnsi="Times New Roman" w:eastAsia="宋体" w:cs="Times New Roman"/>
                <w:color w:val="auto"/>
                <w:sz w:val="24"/>
                <w:szCs w:val="24"/>
              </w:rPr>
            </w:pPr>
            <w:r>
              <w:rPr>
                <w:rFonts w:hint="default" w:ascii="Times New Roman" w:hAnsi="Times New Roman" w:cs="Times New Roman"/>
                <w:color w:val="auto"/>
              </w:rPr>
              <w:t>353.61</w:t>
            </w:r>
          </w:p>
        </w:tc>
        <w:tc>
          <w:tcPr>
            <w:tcW w:w="181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default" w:ascii="Times New Roman" w:hAnsi="Times New Roman" w:cs="Times New Roman"/>
                <w:color w:val="auto"/>
              </w:rPr>
            </w:pPr>
            <w:r>
              <w:rPr>
                <w:rFonts w:hint="default" w:ascii="Times New Roman" w:hAnsi="Times New Roman" w:cs="Times New Roman"/>
                <w:color w:val="auto"/>
              </w:rPr>
              <w:t>353.61</w:t>
            </w:r>
          </w:p>
        </w:tc>
        <w:tc>
          <w:tcPr>
            <w:tcW w:w="135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c>
          <w:tcPr>
            <w:tcW w:w="103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c>
          <w:tcPr>
            <w:tcW w:w="101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c>
          <w:tcPr>
            <w:tcW w:w="181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c>
          <w:tcPr>
            <w:tcW w:w="93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r>
      <w:tr>
        <w:tblPrEx>
          <w:tblCellMar>
            <w:top w:w="0" w:type="dxa"/>
            <w:left w:w="0" w:type="dxa"/>
            <w:bottom w:w="0" w:type="dxa"/>
            <w:right w:w="0" w:type="dxa"/>
          </w:tblCellMar>
        </w:tblPrEx>
        <w:trPr>
          <w:trHeight w:val="450" w:hRule="atLeast"/>
        </w:trPr>
        <w:tc>
          <w:tcPr>
            <w:tcW w:w="1039"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ascii="Times New Roman" w:hAnsi="Times New Roman" w:eastAsia="宋体" w:cs="Times New Roman"/>
                <w:color w:val="auto"/>
                <w:sz w:val="24"/>
                <w:szCs w:val="24"/>
              </w:rPr>
            </w:pPr>
            <w:r>
              <w:rPr>
                <w:rFonts w:hint="default" w:ascii="Times New Roman" w:hAnsi="Times New Roman" w:cs="Times New Roman"/>
                <w:color w:val="auto"/>
              </w:rPr>
              <w:t>　20708</w:t>
            </w:r>
          </w:p>
        </w:tc>
        <w:tc>
          <w:tcPr>
            <w:tcW w:w="4167"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ascii="Times New Roman" w:hAnsi="Times New Roman" w:eastAsia="宋体" w:cs="Times New Roman"/>
                <w:color w:val="auto"/>
                <w:sz w:val="24"/>
                <w:szCs w:val="24"/>
              </w:rPr>
            </w:pPr>
            <w:r>
              <w:rPr>
                <w:rFonts w:hint="default" w:ascii="Times New Roman" w:hAnsi="Times New Roman" w:cs="Times New Roman"/>
                <w:color w:val="auto"/>
              </w:rPr>
              <w:t>　广播电视</w:t>
            </w:r>
          </w:p>
        </w:tc>
        <w:tc>
          <w:tcPr>
            <w:tcW w:w="218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default" w:ascii="Times New Roman" w:hAnsi="Times New Roman" w:eastAsia="华文中宋" w:cs="Times New Roman"/>
                <w:color w:val="auto"/>
                <w:sz w:val="24"/>
                <w:szCs w:val="24"/>
              </w:rPr>
            </w:pPr>
            <w:r>
              <w:rPr>
                <w:rFonts w:hint="default" w:ascii="Times New Roman" w:hAnsi="Times New Roman" w:eastAsia="华文中宋" w:cs="Times New Roman"/>
                <w:color w:val="auto"/>
              </w:rPr>
              <w:t>353.61</w:t>
            </w:r>
          </w:p>
        </w:tc>
        <w:tc>
          <w:tcPr>
            <w:tcW w:w="181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default" w:ascii="Times New Roman" w:hAnsi="Times New Roman" w:cs="Times New Roman"/>
                <w:color w:val="auto"/>
              </w:rPr>
            </w:pPr>
            <w:r>
              <w:rPr>
                <w:rFonts w:hint="default" w:ascii="Times New Roman" w:hAnsi="Times New Roman" w:eastAsia="华文中宋" w:cs="Times New Roman"/>
                <w:color w:val="auto"/>
              </w:rPr>
              <w:t>353.61</w:t>
            </w:r>
          </w:p>
        </w:tc>
        <w:tc>
          <w:tcPr>
            <w:tcW w:w="135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c>
          <w:tcPr>
            <w:tcW w:w="103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c>
          <w:tcPr>
            <w:tcW w:w="101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c>
          <w:tcPr>
            <w:tcW w:w="181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c>
          <w:tcPr>
            <w:tcW w:w="93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r>
      <w:tr>
        <w:tblPrEx>
          <w:tblCellMar>
            <w:top w:w="0" w:type="dxa"/>
            <w:left w:w="0" w:type="dxa"/>
            <w:bottom w:w="0" w:type="dxa"/>
            <w:right w:w="0" w:type="dxa"/>
          </w:tblCellMar>
        </w:tblPrEx>
        <w:trPr>
          <w:trHeight w:val="450" w:hRule="atLeast"/>
        </w:trPr>
        <w:tc>
          <w:tcPr>
            <w:tcW w:w="1039"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ascii="Times New Roman" w:hAnsi="Times New Roman" w:eastAsia="宋体" w:cs="Times New Roman"/>
                <w:color w:val="auto"/>
                <w:sz w:val="24"/>
                <w:szCs w:val="24"/>
              </w:rPr>
            </w:pPr>
            <w:r>
              <w:rPr>
                <w:rFonts w:hint="default" w:ascii="Times New Roman" w:hAnsi="Times New Roman" w:cs="Times New Roman"/>
                <w:color w:val="auto"/>
              </w:rPr>
              <w:t>　270804</w:t>
            </w:r>
          </w:p>
        </w:tc>
        <w:tc>
          <w:tcPr>
            <w:tcW w:w="4167"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ascii="Times New Roman" w:hAnsi="Times New Roman" w:eastAsia="宋体" w:cs="Times New Roman"/>
                <w:color w:val="auto"/>
                <w:sz w:val="24"/>
                <w:szCs w:val="24"/>
              </w:rPr>
            </w:pPr>
            <w:r>
              <w:rPr>
                <w:rFonts w:hint="default" w:ascii="Times New Roman" w:hAnsi="Times New Roman" w:cs="Times New Roman"/>
                <w:color w:val="auto"/>
              </w:rPr>
              <w:t>　广播</w:t>
            </w:r>
          </w:p>
        </w:tc>
        <w:tc>
          <w:tcPr>
            <w:tcW w:w="218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default" w:ascii="Times New Roman" w:hAnsi="Times New Roman" w:eastAsia="宋体" w:cs="Times New Roman"/>
                <w:color w:val="auto"/>
                <w:sz w:val="24"/>
                <w:szCs w:val="24"/>
              </w:rPr>
            </w:pPr>
            <w:r>
              <w:rPr>
                <w:rFonts w:hint="default" w:ascii="Times New Roman" w:hAnsi="Times New Roman" w:cs="Times New Roman"/>
                <w:color w:val="auto"/>
              </w:rPr>
              <w:t>339.5</w:t>
            </w:r>
          </w:p>
        </w:tc>
        <w:tc>
          <w:tcPr>
            <w:tcW w:w="181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default" w:ascii="Times New Roman" w:hAnsi="Times New Roman" w:cs="Times New Roman"/>
                <w:color w:val="auto"/>
              </w:rPr>
            </w:pPr>
            <w:r>
              <w:rPr>
                <w:rFonts w:hint="default" w:ascii="Times New Roman" w:hAnsi="Times New Roman" w:cs="Times New Roman"/>
                <w:color w:val="auto"/>
              </w:rPr>
              <w:t>339.5</w:t>
            </w:r>
          </w:p>
        </w:tc>
        <w:tc>
          <w:tcPr>
            <w:tcW w:w="135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c>
          <w:tcPr>
            <w:tcW w:w="103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c>
          <w:tcPr>
            <w:tcW w:w="101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c>
          <w:tcPr>
            <w:tcW w:w="181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c>
          <w:tcPr>
            <w:tcW w:w="93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r>
      <w:tr>
        <w:tblPrEx>
          <w:tblCellMar>
            <w:top w:w="0" w:type="dxa"/>
            <w:left w:w="0" w:type="dxa"/>
            <w:bottom w:w="0" w:type="dxa"/>
            <w:right w:w="0" w:type="dxa"/>
          </w:tblCellMar>
        </w:tblPrEx>
        <w:trPr>
          <w:trHeight w:val="450" w:hRule="atLeast"/>
        </w:trPr>
        <w:tc>
          <w:tcPr>
            <w:tcW w:w="1039"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ascii="Times New Roman" w:hAnsi="Times New Roman" w:eastAsia="宋体" w:cs="Times New Roman"/>
                <w:color w:val="auto"/>
                <w:sz w:val="24"/>
                <w:szCs w:val="24"/>
              </w:rPr>
            </w:pPr>
            <w:r>
              <w:rPr>
                <w:rFonts w:hint="default" w:ascii="Times New Roman" w:hAnsi="Times New Roman" w:cs="Times New Roman"/>
                <w:color w:val="auto"/>
              </w:rPr>
              <w:t>　2070899</w:t>
            </w:r>
          </w:p>
        </w:tc>
        <w:tc>
          <w:tcPr>
            <w:tcW w:w="4167"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ascii="Times New Roman" w:hAnsi="Times New Roman" w:eastAsia="宋体" w:cs="Times New Roman"/>
                <w:color w:val="auto"/>
                <w:sz w:val="24"/>
                <w:szCs w:val="24"/>
              </w:rPr>
            </w:pPr>
            <w:r>
              <w:rPr>
                <w:rFonts w:hint="default" w:ascii="Times New Roman" w:hAnsi="Times New Roman" w:cs="Times New Roman"/>
                <w:color w:val="auto"/>
              </w:rPr>
              <w:t>　  其他广播电视支出</w:t>
            </w:r>
          </w:p>
        </w:tc>
        <w:tc>
          <w:tcPr>
            <w:tcW w:w="218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tabs>
                <w:tab w:val="center" w:pos="710"/>
                <w:tab w:val="right" w:pos="1750"/>
              </w:tabs>
              <w:jc w:val="center"/>
              <w:rPr>
                <w:rFonts w:hint="default" w:ascii="Times New Roman" w:hAnsi="Times New Roman" w:eastAsia="宋体" w:cs="Times New Roman"/>
                <w:color w:val="auto"/>
                <w:sz w:val="24"/>
                <w:szCs w:val="24"/>
              </w:rPr>
            </w:pPr>
            <w:r>
              <w:rPr>
                <w:rFonts w:hint="default" w:ascii="Times New Roman" w:hAnsi="Times New Roman" w:cs="Times New Roman"/>
                <w:color w:val="auto"/>
              </w:rPr>
              <w:t>14.11</w:t>
            </w:r>
          </w:p>
        </w:tc>
        <w:tc>
          <w:tcPr>
            <w:tcW w:w="181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tabs>
                <w:tab w:val="center" w:pos="710"/>
                <w:tab w:val="right" w:pos="1750"/>
              </w:tabs>
              <w:jc w:val="center"/>
              <w:rPr>
                <w:rFonts w:hint="default" w:ascii="Times New Roman" w:hAnsi="Times New Roman" w:cs="Times New Roman"/>
                <w:color w:val="auto"/>
              </w:rPr>
            </w:pPr>
            <w:r>
              <w:rPr>
                <w:rFonts w:hint="default" w:ascii="Times New Roman" w:hAnsi="Times New Roman" w:cs="Times New Roman"/>
                <w:color w:val="auto"/>
              </w:rPr>
              <w:t>14.11</w:t>
            </w:r>
          </w:p>
        </w:tc>
        <w:tc>
          <w:tcPr>
            <w:tcW w:w="135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c>
          <w:tcPr>
            <w:tcW w:w="103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c>
          <w:tcPr>
            <w:tcW w:w="101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c>
          <w:tcPr>
            <w:tcW w:w="181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c>
          <w:tcPr>
            <w:tcW w:w="93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r>
      <w:tr>
        <w:tblPrEx>
          <w:tblCellMar>
            <w:top w:w="0" w:type="dxa"/>
            <w:left w:w="0" w:type="dxa"/>
            <w:bottom w:w="0" w:type="dxa"/>
            <w:right w:w="0" w:type="dxa"/>
          </w:tblCellMar>
        </w:tblPrEx>
        <w:trPr>
          <w:trHeight w:val="450" w:hRule="atLeast"/>
        </w:trPr>
        <w:tc>
          <w:tcPr>
            <w:tcW w:w="1039"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ascii="Times New Roman" w:hAnsi="Times New Roman" w:eastAsia="宋体" w:cs="Times New Roman"/>
                <w:color w:val="auto"/>
                <w:sz w:val="24"/>
                <w:szCs w:val="24"/>
              </w:rPr>
            </w:pPr>
            <w:r>
              <w:rPr>
                <w:rFonts w:hint="default" w:ascii="Times New Roman" w:hAnsi="Times New Roman" w:cs="Times New Roman"/>
                <w:color w:val="auto"/>
              </w:rPr>
              <w:t>208</w:t>
            </w:r>
          </w:p>
        </w:tc>
        <w:tc>
          <w:tcPr>
            <w:tcW w:w="4167"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ascii="Times New Roman" w:hAnsi="Times New Roman" w:eastAsia="宋体" w:cs="Times New Roman"/>
                <w:color w:val="auto"/>
                <w:sz w:val="24"/>
                <w:szCs w:val="24"/>
              </w:rPr>
            </w:pPr>
            <w:r>
              <w:rPr>
                <w:rFonts w:hint="default" w:ascii="Times New Roman" w:hAnsi="Times New Roman" w:cs="Times New Roman"/>
                <w:color w:val="auto"/>
              </w:rPr>
              <w:t>社会保障和就业支出</w:t>
            </w:r>
          </w:p>
        </w:tc>
        <w:tc>
          <w:tcPr>
            <w:tcW w:w="218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default" w:ascii="Times New Roman" w:hAnsi="Times New Roman" w:eastAsia="宋体" w:cs="Times New Roman"/>
                <w:color w:val="auto"/>
                <w:sz w:val="24"/>
                <w:szCs w:val="24"/>
              </w:rPr>
            </w:pPr>
            <w:r>
              <w:rPr>
                <w:rFonts w:hint="default" w:ascii="Times New Roman" w:hAnsi="Times New Roman" w:cs="Times New Roman"/>
                <w:color w:val="auto"/>
              </w:rPr>
              <w:t>46.5</w:t>
            </w:r>
            <w:r>
              <w:rPr>
                <w:rFonts w:hint="default" w:ascii="Times New Roman" w:hAnsi="Times New Roman" w:cs="Times New Roman"/>
                <w:color w:val="auto"/>
              </w:rPr>
              <w:t>0</w:t>
            </w:r>
          </w:p>
        </w:tc>
        <w:tc>
          <w:tcPr>
            <w:tcW w:w="181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default" w:ascii="Times New Roman" w:hAnsi="Times New Roman" w:cs="Times New Roman"/>
                <w:color w:val="auto"/>
              </w:rPr>
            </w:pPr>
            <w:r>
              <w:rPr>
                <w:rFonts w:hint="default" w:ascii="Times New Roman" w:hAnsi="Times New Roman" w:cs="Times New Roman"/>
                <w:color w:val="auto"/>
              </w:rPr>
              <w:t>46.5</w:t>
            </w:r>
            <w:r>
              <w:rPr>
                <w:rFonts w:hint="default" w:ascii="Times New Roman" w:hAnsi="Times New Roman" w:cs="Times New Roman"/>
                <w:color w:val="auto"/>
              </w:rPr>
              <w:t>0</w:t>
            </w:r>
          </w:p>
        </w:tc>
        <w:tc>
          <w:tcPr>
            <w:tcW w:w="135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c>
          <w:tcPr>
            <w:tcW w:w="103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c>
          <w:tcPr>
            <w:tcW w:w="101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c>
          <w:tcPr>
            <w:tcW w:w="181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c>
          <w:tcPr>
            <w:tcW w:w="93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r>
      <w:tr>
        <w:tblPrEx>
          <w:tblCellMar>
            <w:top w:w="0" w:type="dxa"/>
            <w:left w:w="0" w:type="dxa"/>
            <w:bottom w:w="0" w:type="dxa"/>
            <w:right w:w="0" w:type="dxa"/>
          </w:tblCellMar>
        </w:tblPrEx>
        <w:trPr>
          <w:trHeight w:val="450" w:hRule="atLeast"/>
        </w:trPr>
        <w:tc>
          <w:tcPr>
            <w:tcW w:w="1039"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ascii="Times New Roman" w:hAnsi="Times New Roman" w:cs="Times New Roman"/>
                <w:color w:val="auto"/>
              </w:rPr>
            </w:pPr>
            <w:r>
              <w:rPr>
                <w:rFonts w:hint="default" w:ascii="Times New Roman" w:hAnsi="Times New Roman" w:cs="Times New Roman"/>
                <w:color w:val="auto"/>
              </w:rPr>
              <w:t>20805</w:t>
            </w:r>
          </w:p>
        </w:tc>
        <w:tc>
          <w:tcPr>
            <w:tcW w:w="4167"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ascii="Times New Roman" w:hAnsi="Times New Roman" w:cs="Times New Roman"/>
                <w:color w:val="auto"/>
              </w:rPr>
            </w:pPr>
            <w:r>
              <w:rPr>
                <w:rFonts w:hint="default" w:ascii="Times New Roman" w:hAnsi="Times New Roman" w:cs="Times New Roman"/>
                <w:color w:val="auto"/>
              </w:rPr>
              <w:t>行政事业单位养老支出</w:t>
            </w:r>
          </w:p>
        </w:tc>
        <w:tc>
          <w:tcPr>
            <w:tcW w:w="218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default" w:ascii="Times New Roman" w:hAnsi="Times New Roman" w:cs="Times New Roman"/>
                <w:color w:val="auto"/>
              </w:rPr>
            </w:pPr>
            <w:r>
              <w:rPr>
                <w:rFonts w:hint="default" w:ascii="Times New Roman" w:hAnsi="Times New Roman" w:cs="Times New Roman"/>
                <w:color w:val="auto"/>
              </w:rPr>
              <w:t>46.5</w:t>
            </w:r>
            <w:r>
              <w:rPr>
                <w:rFonts w:hint="default" w:ascii="Times New Roman" w:hAnsi="Times New Roman" w:cs="Times New Roman"/>
                <w:color w:val="auto"/>
              </w:rPr>
              <w:t>0</w:t>
            </w:r>
          </w:p>
        </w:tc>
        <w:tc>
          <w:tcPr>
            <w:tcW w:w="181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default" w:ascii="Times New Roman" w:hAnsi="Times New Roman" w:cs="Times New Roman"/>
                <w:color w:val="auto"/>
              </w:rPr>
            </w:pPr>
            <w:r>
              <w:rPr>
                <w:rFonts w:hint="default" w:ascii="Times New Roman" w:hAnsi="Times New Roman" w:cs="Times New Roman"/>
                <w:color w:val="auto"/>
              </w:rPr>
              <w:t>46.5</w:t>
            </w:r>
            <w:r>
              <w:rPr>
                <w:rFonts w:hint="default" w:ascii="Times New Roman" w:hAnsi="Times New Roman" w:cs="Times New Roman"/>
                <w:color w:val="auto"/>
              </w:rPr>
              <w:t>0</w:t>
            </w:r>
          </w:p>
        </w:tc>
        <w:tc>
          <w:tcPr>
            <w:tcW w:w="135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c>
          <w:tcPr>
            <w:tcW w:w="103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c>
          <w:tcPr>
            <w:tcW w:w="101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c>
          <w:tcPr>
            <w:tcW w:w="181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c>
          <w:tcPr>
            <w:tcW w:w="93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r>
      <w:tr>
        <w:tblPrEx>
          <w:tblCellMar>
            <w:top w:w="0" w:type="dxa"/>
            <w:left w:w="0" w:type="dxa"/>
            <w:bottom w:w="0" w:type="dxa"/>
            <w:right w:w="0" w:type="dxa"/>
          </w:tblCellMar>
        </w:tblPrEx>
        <w:trPr>
          <w:trHeight w:val="450" w:hRule="atLeast"/>
        </w:trPr>
        <w:tc>
          <w:tcPr>
            <w:tcW w:w="1039"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ascii="Times New Roman" w:hAnsi="Times New Roman" w:cs="Times New Roman"/>
                <w:color w:val="auto"/>
              </w:rPr>
            </w:pPr>
            <w:r>
              <w:rPr>
                <w:rFonts w:hint="default" w:ascii="Times New Roman" w:hAnsi="Times New Roman" w:cs="Times New Roman"/>
                <w:color w:val="auto"/>
              </w:rPr>
              <w:t>2080505</w:t>
            </w:r>
          </w:p>
        </w:tc>
        <w:tc>
          <w:tcPr>
            <w:tcW w:w="4167"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ascii="Times New Roman" w:hAnsi="Times New Roman" w:cs="Times New Roman"/>
                <w:color w:val="auto"/>
              </w:rPr>
            </w:pPr>
            <w:r>
              <w:rPr>
                <w:rFonts w:hint="default" w:ascii="Times New Roman" w:hAnsi="Times New Roman" w:cs="Times New Roman"/>
                <w:color w:val="auto"/>
              </w:rPr>
              <w:t xml:space="preserve"> 机关事业单位基本养老保险缴费支出</w:t>
            </w:r>
          </w:p>
        </w:tc>
        <w:tc>
          <w:tcPr>
            <w:tcW w:w="218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default" w:ascii="Times New Roman" w:hAnsi="Times New Roman" w:cs="Times New Roman"/>
                <w:color w:val="auto"/>
              </w:rPr>
            </w:pPr>
            <w:r>
              <w:rPr>
                <w:rFonts w:hint="default" w:ascii="Times New Roman" w:hAnsi="Times New Roman" w:cs="Times New Roman"/>
                <w:color w:val="auto"/>
              </w:rPr>
              <w:t>40</w:t>
            </w:r>
            <w:r>
              <w:rPr>
                <w:rFonts w:hint="default" w:ascii="Times New Roman" w:hAnsi="Times New Roman" w:cs="Times New Roman"/>
                <w:color w:val="auto"/>
              </w:rPr>
              <w:t>.00</w:t>
            </w:r>
          </w:p>
        </w:tc>
        <w:tc>
          <w:tcPr>
            <w:tcW w:w="181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default" w:ascii="Times New Roman" w:hAnsi="Times New Roman" w:cs="Times New Roman"/>
                <w:color w:val="auto"/>
              </w:rPr>
            </w:pPr>
            <w:r>
              <w:rPr>
                <w:rFonts w:hint="default" w:ascii="Times New Roman" w:hAnsi="Times New Roman" w:cs="Times New Roman"/>
                <w:color w:val="auto"/>
              </w:rPr>
              <w:t>40</w:t>
            </w:r>
            <w:r>
              <w:rPr>
                <w:rFonts w:hint="default" w:ascii="Times New Roman" w:hAnsi="Times New Roman" w:cs="Times New Roman"/>
                <w:color w:val="auto"/>
              </w:rPr>
              <w:t>.00</w:t>
            </w:r>
          </w:p>
        </w:tc>
        <w:tc>
          <w:tcPr>
            <w:tcW w:w="135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c>
          <w:tcPr>
            <w:tcW w:w="103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c>
          <w:tcPr>
            <w:tcW w:w="101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c>
          <w:tcPr>
            <w:tcW w:w="181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c>
          <w:tcPr>
            <w:tcW w:w="93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r>
      <w:tr>
        <w:tblPrEx>
          <w:tblCellMar>
            <w:top w:w="0" w:type="dxa"/>
            <w:left w:w="0" w:type="dxa"/>
            <w:bottom w:w="0" w:type="dxa"/>
            <w:right w:w="0" w:type="dxa"/>
          </w:tblCellMar>
        </w:tblPrEx>
        <w:trPr>
          <w:trHeight w:val="450" w:hRule="atLeast"/>
        </w:trPr>
        <w:tc>
          <w:tcPr>
            <w:tcW w:w="1039"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ascii="Times New Roman" w:hAnsi="Times New Roman" w:cs="Times New Roman"/>
                <w:color w:val="auto"/>
              </w:rPr>
            </w:pPr>
            <w:r>
              <w:rPr>
                <w:rFonts w:hint="default" w:ascii="Times New Roman" w:hAnsi="Times New Roman" w:cs="Times New Roman"/>
                <w:color w:val="auto"/>
              </w:rPr>
              <w:t>2080506</w:t>
            </w:r>
          </w:p>
        </w:tc>
        <w:tc>
          <w:tcPr>
            <w:tcW w:w="4167"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ascii="Times New Roman" w:hAnsi="Times New Roman" w:cs="Times New Roman"/>
                <w:color w:val="auto"/>
              </w:rPr>
            </w:pPr>
            <w:r>
              <w:rPr>
                <w:rFonts w:hint="default" w:ascii="Times New Roman" w:hAnsi="Times New Roman" w:cs="Times New Roman"/>
                <w:color w:val="auto"/>
              </w:rPr>
              <w:t>机关事业单位职业年金缴费支出</w:t>
            </w:r>
          </w:p>
        </w:tc>
        <w:tc>
          <w:tcPr>
            <w:tcW w:w="218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default" w:ascii="Times New Roman" w:hAnsi="Times New Roman" w:cs="Times New Roman"/>
                <w:color w:val="auto"/>
              </w:rPr>
            </w:pPr>
            <w:r>
              <w:rPr>
                <w:rFonts w:hint="default" w:ascii="Times New Roman" w:hAnsi="Times New Roman" w:cs="Times New Roman"/>
                <w:color w:val="auto"/>
              </w:rPr>
              <w:t>6.5</w:t>
            </w:r>
            <w:r>
              <w:rPr>
                <w:rFonts w:hint="default" w:ascii="Times New Roman" w:hAnsi="Times New Roman" w:cs="Times New Roman"/>
                <w:color w:val="auto"/>
              </w:rPr>
              <w:t>0</w:t>
            </w:r>
          </w:p>
        </w:tc>
        <w:tc>
          <w:tcPr>
            <w:tcW w:w="181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default" w:ascii="Times New Roman" w:hAnsi="Times New Roman" w:cs="Times New Roman"/>
                <w:color w:val="auto"/>
              </w:rPr>
            </w:pPr>
            <w:r>
              <w:rPr>
                <w:rFonts w:hint="default" w:ascii="Times New Roman" w:hAnsi="Times New Roman" w:cs="Times New Roman"/>
                <w:color w:val="auto"/>
              </w:rPr>
              <w:t>6.5</w:t>
            </w:r>
            <w:r>
              <w:rPr>
                <w:rFonts w:hint="default" w:ascii="Times New Roman" w:hAnsi="Times New Roman" w:cs="Times New Roman"/>
                <w:color w:val="auto"/>
              </w:rPr>
              <w:t>0</w:t>
            </w:r>
          </w:p>
        </w:tc>
        <w:tc>
          <w:tcPr>
            <w:tcW w:w="135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c>
          <w:tcPr>
            <w:tcW w:w="103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c>
          <w:tcPr>
            <w:tcW w:w="101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c>
          <w:tcPr>
            <w:tcW w:w="181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c>
          <w:tcPr>
            <w:tcW w:w="93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r>
      <w:tr>
        <w:tblPrEx>
          <w:tblCellMar>
            <w:top w:w="0" w:type="dxa"/>
            <w:left w:w="0" w:type="dxa"/>
            <w:bottom w:w="0" w:type="dxa"/>
            <w:right w:w="0" w:type="dxa"/>
          </w:tblCellMar>
        </w:tblPrEx>
        <w:trPr>
          <w:trHeight w:val="450" w:hRule="atLeast"/>
        </w:trPr>
        <w:tc>
          <w:tcPr>
            <w:tcW w:w="1039"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ascii="Times New Roman" w:hAnsi="Times New Roman" w:cs="Times New Roman"/>
                <w:color w:val="auto"/>
              </w:rPr>
            </w:pPr>
            <w:r>
              <w:rPr>
                <w:rFonts w:hint="default" w:ascii="Times New Roman" w:hAnsi="Times New Roman" w:cs="Times New Roman"/>
                <w:color w:val="auto"/>
              </w:rPr>
              <w:t>221</w:t>
            </w:r>
          </w:p>
        </w:tc>
        <w:tc>
          <w:tcPr>
            <w:tcW w:w="4167"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ascii="Times New Roman" w:hAnsi="Times New Roman" w:cs="Times New Roman"/>
                <w:color w:val="auto"/>
              </w:rPr>
            </w:pPr>
            <w:r>
              <w:rPr>
                <w:rFonts w:hint="default" w:ascii="Times New Roman" w:hAnsi="Times New Roman" w:cs="Times New Roman"/>
                <w:color w:val="auto"/>
              </w:rPr>
              <w:t>住房保障支出</w:t>
            </w:r>
          </w:p>
        </w:tc>
        <w:tc>
          <w:tcPr>
            <w:tcW w:w="218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default" w:ascii="Times New Roman" w:hAnsi="Times New Roman" w:cs="Times New Roman"/>
                <w:color w:val="auto"/>
              </w:rPr>
            </w:pPr>
            <w:r>
              <w:rPr>
                <w:rFonts w:hint="default" w:ascii="Times New Roman" w:hAnsi="Times New Roman" w:cs="Times New Roman"/>
                <w:color w:val="auto"/>
              </w:rPr>
              <w:t>25</w:t>
            </w:r>
            <w:r>
              <w:rPr>
                <w:rFonts w:hint="default" w:ascii="Times New Roman" w:hAnsi="Times New Roman" w:cs="Times New Roman"/>
                <w:color w:val="auto"/>
              </w:rPr>
              <w:t>.00</w:t>
            </w:r>
          </w:p>
        </w:tc>
        <w:tc>
          <w:tcPr>
            <w:tcW w:w="181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default" w:ascii="Times New Roman" w:hAnsi="Times New Roman" w:cs="Times New Roman"/>
                <w:color w:val="auto"/>
              </w:rPr>
            </w:pPr>
            <w:r>
              <w:rPr>
                <w:rFonts w:hint="default" w:ascii="Times New Roman" w:hAnsi="Times New Roman" w:cs="Times New Roman"/>
                <w:color w:val="auto"/>
              </w:rPr>
              <w:t>25</w:t>
            </w:r>
            <w:r>
              <w:rPr>
                <w:rFonts w:hint="default" w:ascii="Times New Roman" w:hAnsi="Times New Roman" w:cs="Times New Roman"/>
                <w:color w:val="auto"/>
              </w:rPr>
              <w:t>.00</w:t>
            </w:r>
          </w:p>
        </w:tc>
        <w:tc>
          <w:tcPr>
            <w:tcW w:w="135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c>
          <w:tcPr>
            <w:tcW w:w="103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c>
          <w:tcPr>
            <w:tcW w:w="101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c>
          <w:tcPr>
            <w:tcW w:w="181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c>
          <w:tcPr>
            <w:tcW w:w="93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r>
      <w:tr>
        <w:tblPrEx>
          <w:tblCellMar>
            <w:top w:w="0" w:type="dxa"/>
            <w:left w:w="0" w:type="dxa"/>
            <w:bottom w:w="0" w:type="dxa"/>
            <w:right w:w="0" w:type="dxa"/>
          </w:tblCellMar>
        </w:tblPrEx>
        <w:trPr>
          <w:trHeight w:val="450" w:hRule="atLeast"/>
        </w:trPr>
        <w:tc>
          <w:tcPr>
            <w:tcW w:w="1039"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ascii="Times New Roman" w:hAnsi="Times New Roman" w:cs="Times New Roman"/>
                <w:color w:val="auto"/>
              </w:rPr>
            </w:pPr>
            <w:r>
              <w:rPr>
                <w:rFonts w:hint="default" w:ascii="Times New Roman" w:hAnsi="Times New Roman" w:cs="Times New Roman"/>
                <w:color w:val="auto"/>
              </w:rPr>
              <w:t>　22102</w:t>
            </w:r>
          </w:p>
        </w:tc>
        <w:tc>
          <w:tcPr>
            <w:tcW w:w="4167"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ascii="Times New Roman" w:hAnsi="Times New Roman" w:cs="Times New Roman"/>
                <w:color w:val="auto"/>
              </w:rPr>
            </w:pPr>
            <w:r>
              <w:rPr>
                <w:rFonts w:hint="default" w:ascii="Times New Roman" w:hAnsi="Times New Roman" w:cs="Times New Roman"/>
                <w:color w:val="auto"/>
              </w:rPr>
              <w:t>　住房改革支出</w:t>
            </w:r>
          </w:p>
        </w:tc>
        <w:tc>
          <w:tcPr>
            <w:tcW w:w="218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default" w:ascii="Times New Roman" w:hAnsi="Times New Roman" w:cs="Times New Roman"/>
                <w:color w:val="auto"/>
              </w:rPr>
            </w:pPr>
            <w:r>
              <w:rPr>
                <w:rFonts w:hint="default" w:ascii="Times New Roman" w:hAnsi="Times New Roman" w:cs="Times New Roman"/>
                <w:color w:val="auto"/>
              </w:rPr>
              <w:t>25</w:t>
            </w:r>
            <w:r>
              <w:rPr>
                <w:rFonts w:hint="default" w:ascii="Times New Roman" w:hAnsi="Times New Roman" w:cs="Times New Roman"/>
                <w:color w:val="auto"/>
              </w:rPr>
              <w:t>.00</w:t>
            </w:r>
          </w:p>
        </w:tc>
        <w:tc>
          <w:tcPr>
            <w:tcW w:w="181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default" w:ascii="Times New Roman" w:hAnsi="Times New Roman" w:cs="Times New Roman"/>
                <w:color w:val="auto"/>
              </w:rPr>
            </w:pPr>
            <w:r>
              <w:rPr>
                <w:rFonts w:hint="default" w:ascii="Times New Roman" w:hAnsi="Times New Roman" w:cs="Times New Roman"/>
                <w:color w:val="auto"/>
              </w:rPr>
              <w:t>25</w:t>
            </w:r>
            <w:r>
              <w:rPr>
                <w:rFonts w:hint="default" w:ascii="Times New Roman" w:hAnsi="Times New Roman" w:cs="Times New Roman"/>
                <w:color w:val="auto"/>
              </w:rPr>
              <w:t>.00</w:t>
            </w:r>
          </w:p>
        </w:tc>
        <w:tc>
          <w:tcPr>
            <w:tcW w:w="135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c>
          <w:tcPr>
            <w:tcW w:w="103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c>
          <w:tcPr>
            <w:tcW w:w="101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c>
          <w:tcPr>
            <w:tcW w:w="181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c>
          <w:tcPr>
            <w:tcW w:w="93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r>
      <w:tr>
        <w:tblPrEx>
          <w:tblCellMar>
            <w:top w:w="0" w:type="dxa"/>
            <w:left w:w="0" w:type="dxa"/>
            <w:bottom w:w="0" w:type="dxa"/>
            <w:right w:w="0" w:type="dxa"/>
          </w:tblCellMar>
        </w:tblPrEx>
        <w:trPr>
          <w:trHeight w:val="450" w:hRule="atLeast"/>
        </w:trPr>
        <w:tc>
          <w:tcPr>
            <w:tcW w:w="1039"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ascii="Times New Roman" w:hAnsi="Times New Roman" w:eastAsia="宋体" w:cs="Times New Roman"/>
                <w:color w:val="auto"/>
                <w:sz w:val="24"/>
                <w:szCs w:val="24"/>
              </w:rPr>
            </w:pPr>
            <w:r>
              <w:rPr>
                <w:rFonts w:hint="default" w:ascii="Times New Roman" w:hAnsi="Times New Roman" w:cs="Times New Roman"/>
                <w:color w:val="auto"/>
              </w:rPr>
              <w:t>　2210201</w:t>
            </w:r>
          </w:p>
        </w:tc>
        <w:tc>
          <w:tcPr>
            <w:tcW w:w="4167"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ascii="Times New Roman" w:hAnsi="Times New Roman" w:eastAsia="宋体" w:cs="Times New Roman"/>
                <w:color w:val="auto"/>
                <w:sz w:val="24"/>
                <w:szCs w:val="24"/>
              </w:rPr>
            </w:pPr>
            <w:r>
              <w:rPr>
                <w:rFonts w:hint="default" w:ascii="Times New Roman" w:hAnsi="Times New Roman" w:cs="Times New Roman"/>
                <w:color w:val="auto"/>
              </w:rPr>
              <w:t>　住房公积金</w:t>
            </w:r>
          </w:p>
        </w:tc>
        <w:tc>
          <w:tcPr>
            <w:tcW w:w="218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default" w:ascii="Times New Roman" w:hAnsi="Times New Roman" w:eastAsia="宋体" w:cs="Times New Roman"/>
                <w:color w:val="auto"/>
                <w:sz w:val="24"/>
                <w:szCs w:val="24"/>
              </w:rPr>
            </w:pPr>
            <w:r>
              <w:rPr>
                <w:rFonts w:hint="default" w:ascii="Times New Roman" w:hAnsi="Times New Roman" w:cs="Times New Roman"/>
                <w:color w:val="auto"/>
              </w:rPr>
              <w:t>25</w:t>
            </w:r>
            <w:r>
              <w:rPr>
                <w:rFonts w:hint="default" w:ascii="Times New Roman" w:hAnsi="Times New Roman" w:cs="Times New Roman"/>
                <w:color w:val="auto"/>
              </w:rPr>
              <w:t>.00</w:t>
            </w:r>
          </w:p>
        </w:tc>
        <w:tc>
          <w:tcPr>
            <w:tcW w:w="181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default" w:ascii="Times New Roman" w:hAnsi="Times New Roman" w:cs="Times New Roman"/>
                <w:color w:val="auto"/>
              </w:rPr>
            </w:pPr>
            <w:r>
              <w:rPr>
                <w:rFonts w:hint="default" w:ascii="Times New Roman" w:hAnsi="Times New Roman" w:cs="Times New Roman"/>
                <w:color w:val="auto"/>
              </w:rPr>
              <w:t>25</w:t>
            </w:r>
            <w:r>
              <w:rPr>
                <w:rFonts w:hint="default" w:ascii="Times New Roman" w:hAnsi="Times New Roman" w:cs="Times New Roman"/>
                <w:color w:val="auto"/>
              </w:rPr>
              <w:t>.00</w:t>
            </w:r>
          </w:p>
        </w:tc>
        <w:tc>
          <w:tcPr>
            <w:tcW w:w="135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c>
          <w:tcPr>
            <w:tcW w:w="103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c>
          <w:tcPr>
            <w:tcW w:w="101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c>
          <w:tcPr>
            <w:tcW w:w="181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c>
          <w:tcPr>
            <w:tcW w:w="93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r>
      <w:tr>
        <w:tblPrEx>
          <w:tblCellMar>
            <w:top w:w="0" w:type="dxa"/>
            <w:left w:w="0" w:type="dxa"/>
            <w:bottom w:w="0" w:type="dxa"/>
            <w:right w:w="0" w:type="dxa"/>
          </w:tblCellMar>
        </w:tblPrEx>
        <w:trPr>
          <w:trHeight w:val="615" w:hRule="atLeast"/>
        </w:trPr>
        <w:tc>
          <w:tcPr>
            <w:tcW w:w="15358"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hint="default" w:ascii="Times New Roman" w:hAnsi="Times New Roman" w:eastAsia="宋体" w:cs="Times New Roman"/>
                <w:color w:val="auto"/>
                <w:sz w:val="24"/>
                <w:szCs w:val="24"/>
              </w:rPr>
            </w:pPr>
            <w:r>
              <w:rPr>
                <w:rFonts w:hint="default" w:ascii="Times New Roman" w:hAnsi="Times New Roman" w:cs="Times New Roman"/>
                <w:color w:val="auto"/>
              </w:rPr>
              <w:t>注：本表反映部门本年度取得的各项收入情况。</w:t>
            </w:r>
          </w:p>
        </w:tc>
      </w:tr>
    </w:tbl>
    <w:p>
      <w:pPr>
        <w:widowControl/>
        <w:jc w:val="left"/>
        <w:rPr>
          <w:rFonts w:hint="default" w:ascii="Times New Roman" w:hAnsi="Times New Roman" w:eastAsia="黑体" w:cs="Times New Roman"/>
          <w:bCs/>
          <w:color w:val="auto"/>
          <w:kern w:val="0"/>
          <w:sz w:val="32"/>
          <w:szCs w:val="32"/>
        </w:rPr>
      </w:pPr>
      <w:r>
        <w:rPr>
          <w:rFonts w:hint="default" w:ascii="Times New Roman" w:hAnsi="Times New Roman" w:eastAsia="黑体" w:cs="Times New Roman"/>
          <w:bCs/>
          <w:color w:val="auto"/>
          <w:kern w:val="0"/>
          <w:sz w:val="32"/>
          <w:szCs w:val="32"/>
        </w:rPr>
        <w:t xml:space="preserve"> </w:t>
      </w:r>
      <w:r>
        <w:rPr>
          <w:rFonts w:hint="default" w:ascii="Times New Roman" w:hAnsi="Times New Roman" w:eastAsia="黑体" w:cs="Times New Roman"/>
          <w:bCs/>
          <w:color w:val="auto"/>
          <w:kern w:val="0"/>
          <w:sz w:val="32"/>
          <w:szCs w:val="32"/>
        </w:rPr>
        <w:br w:type="page"/>
      </w:r>
    </w:p>
    <w:p>
      <w:pPr>
        <w:widowControl/>
        <w:rPr>
          <w:rFonts w:hint="default" w:ascii="Times New Roman" w:hAnsi="Times New Roman" w:eastAsia="方正小标宋_GBK" w:cs="Times New Roman"/>
          <w:color w:val="auto"/>
          <w:kern w:val="0"/>
          <w:sz w:val="36"/>
          <w:szCs w:val="36"/>
        </w:rPr>
      </w:pPr>
    </w:p>
    <w:tbl>
      <w:tblPr>
        <w:tblStyle w:val="7"/>
        <w:tblW w:w="13183" w:type="dxa"/>
        <w:tblInd w:w="93" w:type="dxa"/>
        <w:tblLayout w:type="fixed"/>
        <w:tblCellMar>
          <w:top w:w="0" w:type="dxa"/>
          <w:left w:w="108" w:type="dxa"/>
          <w:bottom w:w="0" w:type="dxa"/>
          <w:right w:w="108" w:type="dxa"/>
        </w:tblCellMar>
      </w:tblPr>
      <w:tblGrid>
        <w:gridCol w:w="1042"/>
        <w:gridCol w:w="85"/>
        <w:gridCol w:w="155"/>
        <w:gridCol w:w="3774"/>
        <w:gridCol w:w="1667"/>
        <w:gridCol w:w="1250"/>
        <w:gridCol w:w="1183"/>
        <w:gridCol w:w="1167"/>
        <w:gridCol w:w="1300"/>
        <w:gridCol w:w="1560"/>
      </w:tblGrid>
      <w:tr>
        <w:tblPrEx>
          <w:tblCellMar>
            <w:top w:w="0" w:type="dxa"/>
            <w:left w:w="108" w:type="dxa"/>
            <w:bottom w:w="0" w:type="dxa"/>
            <w:right w:w="108" w:type="dxa"/>
          </w:tblCellMar>
        </w:tblPrEx>
        <w:trPr>
          <w:trHeight w:val="435" w:hRule="atLeast"/>
        </w:trPr>
        <w:tc>
          <w:tcPr>
            <w:tcW w:w="13183" w:type="dxa"/>
            <w:gridSpan w:val="10"/>
            <w:tcBorders>
              <w:top w:val="nil"/>
              <w:left w:val="nil"/>
              <w:bottom w:val="nil"/>
              <w:right w:val="nil"/>
            </w:tcBorders>
            <w:shd w:val="clear" w:color="auto" w:fill="auto"/>
            <w:noWrap/>
            <w:vAlign w:val="center"/>
          </w:tcPr>
          <w:p>
            <w:pPr>
              <w:widowControl/>
              <w:jc w:val="center"/>
              <w:rPr>
                <w:rFonts w:hint="default" w:ascii="Times New Roman" w:hAnsi="Times New Roman" w:eastAsia="华文中宋" w:cs="Times New Roman"/>
                <w:color w:val="auto"/>
                <w:kern w:val="0"/>
                <w:sz w:val="32"/>
                <w:szCs w:val="32"/>
              </w:rPr>
            </w:pPr>
            <w:r>
              <w:rPr>
                <w:rFonts w:hint="default" w:ascii="Times New Roman" w:hAnsi="Times New Roman" w:eastAsia="华文中宋" w:cs="Times New Roman"/>
                <w:color w:val="auto"/>
                <w:kern w:val="0"/>
                <w:sz w:val="32"/>
                <w:szCs w:val="32"/>
              </w:rPr>
              <w:t>支出决算表</w:t>
            </w:r>
          </w:p>
        </w:tc>
      </w:tr>
      <w:tr>
        <w:tblPrEx>
          <w:tblCellMar>
            <w:top w:w="0" w:type="dxa"/>
            <w:left w:w="108" w:type="dxa"/>
            <w:bottom w:w="0" w:type="dxa"/>
            <w:right w:w="108" w:type="dxa"/>
          </w:tblCellMar>
        </w:tblPrEx>
        <w:trPr>
          <w:trHeight w:val="345" w:hRule="atLeast"/>
        </w:trPr>
        <w:tc>
          <w:tcPr>
            <w:tcW w:w="1042" w:type="dxa"/>
            <w:tcBorders>
              <w:top w:val="nil"/>
              <w:left w:val="nil"/>
              <w:bottom w:val="nil"/>
              <w:right w:val="nil"/>
            </w:tcBorders>
            <w:shd w:val="clear" w:color="000000" w:fill="FFFFFF"/>
            <w:noWrap/>
            <w:vAlign w:val="center"/>
          </w:tcPr>
          <w:p>
            <w:pPr>
              <w:widowControl/>
              <w:jc w:val="righ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c>
          <w:tcPr>
            <w:tcW w:w="240" w:type="dxa"/>
            <w:gridSpan w:val="2"/>
            <w:tcBorders>
              <w:top w:val="nil"/>
              <w:left w:val="nil"/>
              <w:bottom w:val="nil"/>
              <w:right w:val="nil"/>
            </w:tcBorders>
            <w:shd w:val="clear" w:color="000000" w:fill="FFFFFF"/>
            <w:noWrap/>
            <w:vAlign w:val="center"/>
          </w:tcPr>
          <w:p>
            <w:pPr>
              <w:widowControl/>
              <w:jc w:val="righ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c>
          <w:tcPr>
            <w:tcW w:w="3774" w:type="dxa"/>
            <w:tcBorders>
              <w:top w:val="nil"/>
              <w:left w:val="nil"/>
              <w:bottom w:val="nil"/>
              <w:right w:val="nil"/>
            </w:tcBorders>
            <w:shd w:val="clear" w:color="000000" w:fill="FFFFFF"/>
            <w:noWrap/>
            <w:vAlign w:val="center"/>
          </w:tcPr>
          <w:p>
            <w:pPr>
              <w:widowControl/>
              <w:jc w:val="righ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c>
          <w:tcPr>
            <w:tcW w:w="1667" w:type="dxa"/>
            <w:tcBorders>
              <w:top w:val="nil"/>
              <w:left w:val="nil"/>
              <w:bottom w:val="nil"/>
              <w:right w:val="nil"/>
            </w:tcBorders>
            <w:shd w:val="clear" w:color="000000" w:fill="FFFFFF"/>
            <w:noWrap/>
            <w:vAlign w:val="center"/>
          </w:tcPr>
          <w:p>
            <w:pPr>
              <w:widowControl/>
              <w:jc w:val="righ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c>
          <w:tcPr>
            <w:tcW w:w="1250" w:type="dxa"/>
            <w:tcBorders>
              <w:top w:val="nil"/>
              <w:left w:val="nil"/>
              <w:bottom w:val="nil"/>
              <w:right w:val="nil"/>
            </w:tcBorders>
            <w:shd w:val="clear" w:color="000000" w:fill="FFFFFF"/>
            <w:noWrap/>
            <w:vAlign w:val="center"/>
          </w:tcPr>
          <w:p>
            <w:pPr>
              <w:widowControl/>
              <w:jc w:val="righ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c>
          <w:tcPr>
            <w:tcW w:w="1183" w:type="dxa"/>
            <w:tcBorders>
              <w:top w:val="nil"/>
              <w:left w:val="nil"/>
              <w:bottom w:val="nil"/>
              <w:right w:val="nil"/>
            </w:tcBorders>
            <w:shd w:val="clear" w:color="000000" w:fill="FFFFFF"/>
            <w:noWrap/>
            <w:vAlign w:val="center"/>
          </w:tcPr>
          <w:p>
            <w:pPr>
              <w:widowControl/>
              <w:jc w:val="righ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c>
          <w:tcPr>
            <w:tcW w:w="1167" w:type="dxa"/>
            <w:tcBorders>
              <w:top w:val="nil"/>
              <w:left w:val="nil"/>
              <w:bottom w:val="nil"/>
              <w:right w:val="nil"/>
            </w:tcBorders>
            <w:shd w:val="clear" w:color="000000" w:fill="FFFFFF"/>
            <w:noWrap/>
            <w:vAlign w:val="center"/>
          </w:tcPr>
          <w:p>
            <w:pPr>
              <w:widowControl/>
              <w:jc w:val="righ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c>
          <w:tcPr>
            <w:tcW w:w="1300" w:type="dxa"/>
            <w:tcBorders>
              <w:top w:val="nil"/>
              <w:left w:val="nil"/>
              <w:bottom w:val="nil"/>
              <w:right w:val="nil"/>
            </w:tcBorders>
            <w:shd w:val="clear" w:color="000000" w:fill="FFFFFF"/>
            <w:noWrap/>
            <w:vAlign w:val="center"/>
          </w:tcPr>
          <w:p>
            <w:pPr>
              <w:widowControl/>
              <w:jc w:val="righ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c>
          <w:tcPr>
            <w:tcW w:w="1560" w:type="dxa"/>
            <w:tcBorders>
              <w:top w:val="nil"/>
              <w:left w:val="nil"/>
              <w:bottom w:val="nil"/>
              <w:right w:val="nil"/>
            </w:tcBorders>
            <w:shd w:val="clear" w:color="000000" w:fill="FFFFFF"/>
            <w:noWrap/>
            <w:vAlign w:val="center"/>
          </w:tcPr>
          <w:p>
            <w:pPr>
              <w:widowControl/>
              <w:jc w:val="right"/>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公开03表</w:t>
            </w:r>
          </w:p>
        </w:tc>
      </w:tr>
      <w:tr>
        <w:tblPrEx>
          <w:tblCellMar>
            <w:top w:w="0" w:type="dxa"/>
            <w:left w:w="108" w:type="dxa"/>
            <w:bottom w:w="0" w:type="dxa"/>
            <w:right w:w="108" w:type="dxa"/>
          </w:tblCellMar>
        </w:tblPrEx>
        <w:trPr>
          <w:trHeight w:val="285" w:hRule="atLeast"/>
        </w:trPr>
        <w:tc>
          <w:tcPr>
            <w:tcW w:w="1042" w:type="dxa"/>
            <w:tcBorders>
              <w:top w:val="nil"/>
              <w:left w:val="nil"/>
              <w:bottom w:val="nil"/>
              <w:right w:val="nil"/>
            </w:tcBorders>
            <w:shd w:val="clear" w:color="000000" w:fill="FFFFFF"/>
            <w:noWrap/>
            <w:vAlign w:val="center"/>
          </w:tcPr>
          <w:p>
            <w:pPr>
              <w:widowControl/>
              <w:jc w:val="left"/>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部门：</w:t>
            </w:r>
          </w:p>
        </w:tc>
        <w:tc>
          <w:tcPr>
            <w:tcW w:w="240" w:type="dxa"/>
            <w:gridSpan w:val="2"/>
            <w:tcBorders>
              <w:top w:val="nil"/>
              <w:left w:val="nil"/>
              <w:bottom w:val="nil"/>
              <w:right w:val="nil"/>
            </w:tcBorders>
            <w:shd w:val="clear" w:color="000000" w:fill="FFFFFF"/>
            <w:noWrap/>
            <w:vAlign w:val="center"/>
          </w:tcPr>
          <w:p>
            <w:pPr>
              <w:widowControl/>
              <w:jc w:val="lef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c>
          <w:tcPr>
            <w:tcW w:w="3774" w:type="dxa"/>
            <w:tcBorders>
              <w:top w:val="nil"/>
              <w:left w:val="nil"/>
              <w:bottom w:val="nil"/>
              <w:right w:val="nil"/>
            </w:tcBorders>
            <w:shd w:val="clear" w:color="000000" w:fill="FFFFFF"/>
            <w:noWrap/>
            <w:vAlign w:val="center"/>
          </w:tcPr>
          <w:p>
            <w:pPr>
              <w:widowControl/>
              <w:jc w:val="lef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0"/>
                <w:szCs w:val="20"/>
              </w:rPr>
              <w:t>湖南省新闻出版广电局岳阳中波转播台</w:t>
            </w:r>
            <w:r>
              <w:rPr>
                <w:rFonts w:hint="default" w:ascii="Times New Roman" w:hAnsi="Times New Roman" w:eastAsia="宋体" w:cs="Times New Roman"/>
                <w:color w:val="auto"/>
                <w:kern w:val="0"/>
                <w:sz w:val="24"/>
                <w:szCs w:val="24"/>
              </w:rPr>
              <w:t>　</w:t>
            </w:r>
          </w:p>
        </w:tc>
        <w:tc>
          <w:tcPr>
            <w:tcW w:w="1667" w:type="dxa"/>
            <w:tcBorders>
              <w:top w:val="nil"/>
              <w:left w:val="nil"/>
              <w:bottom w:val="nil"/>
              <w:right w:val="nil"/>
            </w:tcBorders>
            <w:shd w:val="clear" w:color="000000" w:fill="FFFFFF"/>
            <w:noWrap/>
            <w:vAlign w:val="center"/>
          </w:tcPr>
          <w:p>
            <w:pPr>
              <w:widowControl/>
              <w:jc w:val="righ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c>
          <w:tcPr>
            <w:tcW w:w="1250" w:type="dxa"/>
            <w:tcBorders>
              <w:top w:val="nil"/>
              <w:left w:val="nil"/>
              <w:bottom w:val="nil"/>
              <w:right w:val="nil"/>
            </w:tcBorders>
            <w:shd w:val="clear" w:color="000000" w:fill="FFFFFF"/>
            <w:noWrap/>
            <w:vAlign w:val="center"/>
          </w:tcPr>
          <w:p>
            <w:pPr>
              <w:widowControl/>
              <w:jc w:val="righ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c>
          <w:tcPr>
            <w:tcW w:w="1183" w:type="dxa"/>
            <w:tcBorders>
              <w:top w:val="nil"/>
              <w:left w:val="nil"/>
              <w:bottom w:val="nil"/>
              <w:right w:val="nil"/>
            </w:tcBorders>
            <w:shd w:val="clear" w:color="000000" w:fill="FFFFFF"/>
            <w:noWrap/>
            <w:vAlign w:val="center"/>
          </w:tcPr>
          <w:p>
            <w:pPr>
              <w:widowControl/>
              <w:jc w:val="center"/>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　</w:t>
            </w:r>
          </w:p>
        </w:tc>
        <w:tc>
          <w:tcPr>
            <w:tcW w:w="1167" w:type="dxa"/>
            <w:tcBorders>
              <w:top w:val="nil"/>
              <w:left w:val="nil"/>
              <w:bottom w:val="nil"/>
              <w:right w:val="nil"/>
            </w:tcBorders>
            <w:shd w:val="clear" w:color="000000" w:fill="FFFFFF"/>
            <w:noWrap/>
            <w:vAlign w:val="center"/>
          </w:tcPr>
          <w:p>
            <w:pPr>
              <w:widowControl/>
              <w:jc w:val="righ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c>
          <w:tcPr>
            <w:tcW w:w="1300" w:type="dxa"/>
            <w:tcBorders>
              <w:top w:val="nil"/>
              <w:left w:val="nil"/>
              <w:bottom w:val="nil"/>
              <w:right w:val="nil"/>
            </w:tcBorders>
            <w:shd w:val="clear" w:color="000000" w:fill="FFFFFF"/>
            <w:noWrap/>
            <w:vAlign w:val="center"/>
          </w:tcPr>
          <w:p>
            <w:pPr>
              <w:widowControl/>
              <w:jc w:val="righ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c>
          <w:tcPr>
            <w:tcW w:w="1560" w:type="dxa"/>
            <w:tcBorders>
              <w:top w:val="nil"/>
              <w:left w:val="nil"/>
              <w:bottom w:val="nil"/>
              <w:right w:val="nil"/>
            </w:tcBorders>
            <w:shd w:val="clear" w:color="000000" w:fill="FFFFFF"/>
            <w:noWrap/>
            <w:vAlign w:val="center"/>
          </w:tcPr>
          <w:p>
            <w:pPr>
              <w:widowControl/>
              <w:jc w:val="right"/>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单位：万元</w:t>
            </w:r>
          </w:p>
        </w:tc>
      </w:tr>
      <w:tr>
        <w:tblPrEx>
          <w:tblCellMar>
            <w:top w:w="0" w:type="dxa"/>
            <w:left w:w="108" w:type="dxa"/>
            <w:bottom w:w="0" w:type="dxa"/>
            <w:right w:w="108" w:type="dxa"/>
          </w:tblCellMar>
        </w:tblPrEx>
        <w:trPr>
          <w:trHeight w:val="450" w:hRule="atLeast"/>
        </w:trPr>
        <w:tc>
          <w:tcPr>
            <w:tcW w:w="5056"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项    目</w:t>
            </w:r>
          </w:p>
        </w:tc>
        <w:tc>
          <w:tcPr>
            <w:tcW w:w="1667"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本年支出合计</w:t>
            </w:r>
          </w:p>
        </w:tc>
        <w:tc>
          <w:tcPr>
            <w:tcW w:w="125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基本支出</w:t>
            </w:r>
          </w:p>
        </w:tc>
        <w:tc>
          <w:tcPr>
            <w:tcW w:w="1183"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项目支出</w:t>
            </w:r>
          </w:p>
        </w:tc>
        <w:tc>
          <w:tcPr>
            <w:tcW w:w="1167"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上缴上级支出</w:t>
            </w:r>
          </w:p>
        </w:tc>
        <w:tc>
          <w:tcPr>
            <w:tcW w:w="130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经营支出</w:t>
            </w:r>
          </w:p>
        </w:tc>
        <w:tc>
          <w:tcPr>
            <w:tcW w:w="156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对附属单位补助支出</w:t>
            </w:r>
          </w:p>
        </w:tc>
      </w:tr>
      <w:tr>
        <w:tblPrEx>
          <w:tblCellMar>
            <w:top w:w="0" w:type="dxa"/>
            <w:left w:w="108" w:type="dxa"/>
            <w:bottom w:w="0" w:type="dxa"/>
            <w:right w:w="108" w:type="dxa"/>
          </w:tblCellMar>
        </w:tblPrEx>
        <w:trPr>
          <w:trHeight w:val="450" w:hRule="atLeast"/>
        </w:trPr>
        <w:tc>
          <w:tcPr>
            <w:tcW w:w="1282"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功能分类科目编码</w:t>
            </w:r>
          </w:p>
        </w:tc>
        <w:tc>
          <w:tcPr>
            <w:tcW w:w="3774"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科目名称</w:t>
            </w:r>
          </w:p>
        </w:tc>
        <w:tc>
          <w:tcPr>
            <w:tcW w:w="16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color w:val="auto"/>
                <w:kern w:val="0"/>
                <w:sz w:val="24"/>
                <w:szCs w:val="24"/>
              </w:rPr>
            </w:pPr>
          </w:p>
        </w:tc>
        <w:tc>
          <w:tcPr>
            <w:tcW w:w="12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color w:val="auto"/>
                <w:kern w:val="0"/>
                <w:sz w:val="24"/>
                <w:szCs w:val="24"/>
              </w:rPr>
            </w:pPr>
          </w:p>
        </w:tc>
        <w:tc>
          <w:tcPr>
            <w:tcW w:w="11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color w:val="auto"/>
                <w:kern w:val="0"/>
                <w:sz w:val="24"/>
                <w:szCs w:val="24"/>
              </w:rPr>
            </w:pPr>
          </w:p>
        </w:tc>
        <w:tc>
          <w:tcPr>
            <w:tcW w:w="11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color w:val="auto"/>
                <w:kern w:val="0"/>
                <w:sz w:val="24"/>
                <w:szCs w:val="24"/>
              </w:rPr>
            </w:pPr>
          </w:p>
        </w:tc>
        <w:tc>
          <w:tcPr>
            <w:tcW w:w="1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color w:val="auto"/>
                <w:kern w:val="0"/>
                <w:sz w:val="24"/>
                <w:szCs w:val="24"/>
              </w:rPr>
            </w:pP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color w:val="auto"/>
                <w:kern w:val="0"/>
                <w:sz w:val="24"/>
                <w:szCs w:val="24"/>
              </w:rPr>
            </w:pPr>
          </w:p>
        </w:tc>
      </w:tr>
      <w:tr>
        <w:tblPrEx>
          <w:tblCellMar>
            <w:top w:w="0" w:type="dxa"/>
            <w:left w:w="108" w:type="dxa"/>
            <w:bottom w:w="0" w:type="dxa"/>
            <w:right w:w="108" w:type="dxa"/>
          </w:tblCellMar>
        </w:tblPrEx>
        <w:trPr>
          <w:trHeight w:val="450" w:hRule="atLeast"/>
        </w:trPr>
        <w:tc>
          <w:tcPr>
            <w:tcW w:w="1282"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color w:val="auto"/>
                <w:kern w:val="0"/>
                <w:sz w:val="24"/>
                <w:szCs w:val="24"/>
              </w:rPr>
            </w:pPr>
          </w:p>
        </w:tc>
        <w:tc>
          <w:tcPr>
            <w:tcW w:w="3774"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color w:val="auto"/>
                <w:kern w:val="0"/>
                <w:sz w:val="24"/>
                <w:szCs w:val="24"/>
              </w:rPr>
            </w:pPr>
          </w:p>
        </w:tc>
        <w:tc>
          <w:tcPr>
            <w:tcW w:w="16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color w:val="auto"/>
                <w:kern w:val="0"/>
                <w:sz w:val="24"/>
                <w:szCs w:val="24"/>
              </w:rPr>
            </w:pPr>
          </w:p>
        </w:tc>
        <w:tc>
          <w:tcPr>
            <w:tcW w:w="12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color w:val="auto"/>
                <w:kern w:val="0"/>
                <w:sz w:val="24"/>
                <w:szCs w:val="24"/>
              </w:rPr>
            </w:pPr>
          </w:p>
        </w:tc>
        <w:tc>
          <w:tcPr>
            <w:tcW w:w="11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color w:val="auto"/>
                <w:kern w:val="0"/>
                <w:sz w:val="24"/>
                <w:szCs w:val="24"/>
              </w:rPr>
            </w:pPr>
          </w:p>
        </w:tc>
        <w:tc>
          <w:tcPr>
            <w:tcW w:w="11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color w:val="auto"/>
                <w:kern w:val="0"/>
                <w:sz w:val="24"/>
                <w:szCs w:val="24"/>
              </w:rPr>
            </w:pPr>
          </w:p>
        </w:tc>
        <w:tc>
          <w:tcPr>
            <w:tcW w:w="1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color w:val="auto"/>
                <w:kern w:val="0"/>
                <w:sz w:val="24"/>
                <w:szCs w:val="24"/>
              </w:rPr>
            </w:pP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color w:val="auto"/>
                <w:kern w:val="0"/>
                <w:sz w:val="24"/>
                <w:szCs w:val="24"/>
              </w:rPr>
            </w:pPr>
          </w:p>
        </w:tc>
      </w:tr>
      <w:tr>
        <w:tblPrEx>
          <w:tblCellMar>
            <w:top w:w="0" w:type="dxa"/>
            <w:left w:w="108" w:type="dxa"/>
            <w:bottom w:w="0" w:type="dxa"/>
            <w:right w:w="108" w:type="dxa"/>
          </w:tblCellMar>
        </w:tblPrEx>
        <w:trPr>
          <w:trHeight w:val="450" w:hRule="atLeast"/>
        </w:trPr>
        <w:tc>
          <w:tcPr>
            <w:tcW w:w="5056"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栏次</w:t>
            </w:r>
          </w:p>
        </w:tc>
        <w:tc>
          <w:tcPr>
            <w:tcW w:w="1667"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1</w:t>
            </w:r>
          </w:p>
        </w:tc>
        <w:tc>
          <w:tcPr>
            <w:tcW w:w="1250"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2</w:t>
            </w:r>
          </w:p>
        </w:tc>
        <w:tc>
          <w:tcPr>
            <w:tcW w:w="1183"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3</w:t>
            </w:r>
          </w:p>
        </w:tc>
        <w:tc>
          <w:tcPr>
            <w:tcW w:w="1167"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4</w:t>
            </w:r>
          </w:p>
        </w:tc>
        <w:tc>
          <w:tcPr>
            <w:tcW w:w="1300"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5</w:t>
            </w:r>
          </w:p>
        </w:tc>
        <w:tc>
          <w:tcPr>
            <w:tcW w:w="1560"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6</w:t>
            </w:r>
          </w:p>
        </w:tc>
      </w:tr>
      <w:tr>
        <w:tblPrEx>
          <w:tblCellMar>
            <w:top w:w="0" w:type="dxa"/>
            <w:left w:w="108" w:type="dxa"/>
            <w:bottom w:w="0" w:type="dxa"/>
            <w:right w:w="108" w:type="dxa"/>
          </w:tblCellMar>
        </w:tblPrEx>
        <w:trPr>
          <w:trHeight w:val="450" w:hRule="atLeast"/>
        </w:trPr>
        <w:tc>
          <w:tcPr>
            <w:tcW w:w="5056"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合计</w:t>
            </w:r>
          </w:p>
        </w:tc>
        <w:tc>
          <w:tcPr>
            <w:tcW w:w="166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415.77</w:t>
            </w:r>
          </w:p>
        </w:tc>
        <w:tc>
          <w:tcPr>
            <w:tcW w:w="125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404.81</w:t>
            </w:r>
          </w:p>
        </w:tc>
        <w:tc>
          <w:tcPr>
            <w:tcW w:w="118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10.95</w:t>
            </w:r>
          </w:p>
        </w:tc>
        <w:tc>
          <w:tcPr>
            <w:tcW w:w="1167" w:type="dxa"/>
            <w:tcBorders>
              <w:top w:val="nil"/>
              <w:left w:val="nil"/>
              <w:bottom w:val="single" w:color="auto" w:sz="4" w:space="0"/>
              <w:right w:val="single" w:color="auto" w:sz="4" w:space="0"/>
            </w:tcBorders>
            <w:shd w:val="clear" w:color="auto" w:fill="auto"/>
            <w:noWrap/>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c>
          <w:tcPr>
            <w:tcW w:w="1300" w:type="dxa"/>
            <w:tcBorders>
              <w:top w:val="nil"/>
              <w:left w:val="nil"/>
              <w:bottom w:val="single" w:color="auto" w:sz="4" w:space="0"/>
              <w:right w:val="single" w:color="auto" w:sz="4" w:space="0"/>
            </w:tcBorders>
            <w:shd w:val="clear" w:color="auto" w:fill="auto"/>
            <w:noWrap/>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c>
          <w:tcPr>
            <w:tcW w:w="1560" w:type="dxa"/>
            <w:tcBorders>
              <w:top w:val="nil"/>
              <w:left w:val="nil"/>
              <w:bottom w:val="single" w:color="auto" w:sz="4" w:space="0"/>
              <w:right w:val="single" w:color="auto" w:sz="4" w:space="0"/>
            </w:tcBorders>
            <w:shd w:val="clear" w:color="auto" w:fill="auto"/>
            <w:noWrap/>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r>
      <w:tr>
        <w:tblPrEx>
          <w:tblCellMar>
            <w:top w:w="0" w:type="dxa"/>
            <w:left w:w="108" w:type="dxa"/>
            <w:bottom w:w="0" w:type="dxa"/>
            <w:right w:w="108" w:type="dxa"/>
          </w:tblCellMar>
        </w:tblPrEx>
        <w:trPr>
          <w:trHeight w:val="450" w:hRule="atLeast"/>
        </w:trPr>
        <w:tc>
          <w:tcPr>
            <w:tcW w:w="1127"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hint="default" w:ascii="Times New Roman" w:hAnsi="Times New Roman" w:eastAsia="宋体" w:cs="Times New Roman"/>
                <w:color w:val="auto"/>
                <w:kern w:val="0"/>
                <w:sz w:val="24"/>
                <w:szCs w:val="24"/>
              </w:rPr>
            </w:pPr>
            <w:r>
              <w:rPr>
                <w:rFonts w:hint="default" w:ascii="Times New Roman" w:hAnsi="Times New Roman" w:cs="Times New Roman"/>
                <w:color w:val="auto"/>
              </w:rPr>
              <w:t>　207</w:t>
            </w:r>
          </w:p>
        </w:tc>
        <w:tc>
          <w:tcPr>
            <w:tcW w:w="3929" w:type="dxa"/>
            <w:gridSpan w:val="2"/>
            <w:tcBorders>
              <w:top w:val="nil"/>
              <w:left w:val="nil"/>
              <w:bottom w:val="single" w:color="auto" w:sz="4" w:space="0"/>
              <w:right w:val="single" w:color="auto" w:sz="4" w:space="0"/>
            </w:tcBorders>
            <w:shd w:val="clear" w:color="000000" w:fill="FFFFFF"/>
            <w:noWrap/>
            <w:vAlign w:val="center"/>
          </w:tcPr>
          <w:p>
            <w:pPr>
              <w:rPr>
                <w:rFonts w:hint="default" w:ascii="Times New Roman" w:hAnsi="Times New Roman" w:eastAsia="宋体" w:cs="Times New Roman"/>
                <w:color w:val="auto"/>
                <w:kern w:val="0"/>
                <w:sz w:val="24"/>
                <w:szCs w:val="24"/>
              </w:rPr>
            </w:pPr>
            <w:r>
              <w:rPr>
                <w:rFonts w:hint="default" w:ascii="Times New Roman" w:hAnsi="Times New Roman" w:cs="Times New Roman"/>
                <w:color w:val="auto"/>
              </w:rPr>
              <w:t>　文化旅游体育与传媒支出</w:t>
            </w:r>
          </w:p>
        </w:tc>
        <w:tc>
          <w:tcPr>
            <w:tcW w:w="166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344.27</w:t>
            </w:r>
          </w:p>
        </w:tc>
        <w:tc>
          <w:tcPr>
            <w:tcW w:w="125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333.31</w:t>
            </w:r>
          </w:p>
        </w:tc>
        <w:tc>
          <w:tcPr>
            <w:tcW w:w="1183" w:type="dxa"/>
            <w:tcBorders>
              <w:top w:val="nil"/>
              <w:left w:val="nil"/>
              <w:bottom w:val="single" w:color="auto" w:sz="4" w:space="0"/>
              <w:right w:val="single" w:color="auto" w:sz="4" w:space="0"/>
            </w:tcBorders>
            <w:shd w:val="clear" w:color="auto" w:fill="auto"/>
            <w:noWrap/>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10.95</w:t>
            </w:r>
          </w:p>
        </w:tc>
        <w:tc>
          <w:tcPr>
            <w:tcW w:w="1167" w:type="dxa"/>
            <w:tcBorders>
              <w:top w:val="nil"/>
              <w:left w:val="nil"/>
              <w:bottom w:val="single" w:color="auto" w:sz="4" w:space="0"/>
              <w:right w:val="single" w:color="auto" w:sz="4" w:space="0"/>
            </w:tcBorders>
            <w:shd w:val="clear" w:color="auto" w:fill="auto"/>
            <w:noWrap/>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c>
          <w:tcPr>
            <w:tcW w:w="1300" w:type="dxa"/>
            <w:tcBorders>
              <w:top w:val="nil"/>
              <w:left w:val="nil"/>
              <w:bottom w:val="single" w:color="auto" w:sz="4" w:space="0"/>
              <w:right w:val="single" w:color="auto" w:sz="4" w:space="0"/>
            </w:tcBorders>
            <w:shd w:val="clear" w:color="auto" w:fill="auto"/>
            <w:noWrap/>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c>
          <w:tcPr>
            <w:tcW w:w="1560" w:type="dxa"/>
            <w:tcBorders>
              <w:top w:val="nil"/>
              <w:left w:val="nil"/>
              <w:bottom w:val="single" w:color="auto" w:sz="4" w:space="0"/>
              <w:right w:val="single" w:color="auto" w:sz="4" w:space="0"/>
            </w:tcBorders>
            <w:shd w:val="clear" w:color="auto" w:fill="auto"/>
            <w:noWrap/>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r>
      <w:tr>
        <w:tblPrEx>
          <w:tblCellMar>
            <w:top w:w="0" w:type="dxa"/>
            <w:left w:w="108" w:type="dxa"/>
            <w:bottom w:w="0" w:type="dxa"/>
            <w:right w:w="108" w:type="dxa"/>
          </w:tblCellMar>
        </w:tblPrEx>
        <w:trPr>
          <w:trHeight w:val="450" w:hRule="atLeast"/>
        </w:trPr>
        <w:tc>
          <w:tcPr>
            <w:tcW w:w="1127"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hint="default" w:ascii="Times New Roman" w:hAnsi="Times New Roman" w:eastAsia="宋体" w:cs="Times New Roman"/>
                <w:color w:val="auto"/>
                <w:kern w:val="0"/>
                <w:sz w:val="24"/>
                <w:szCs w:val="24"/>
              </w:rPr>
            </w:pPr>
            <w:r>
              <w:rPr>
                <w:rFonts w:hint="default" w:ascii="Times New Roman" w:hAnsi="Times New Roman" w:cs="Times New Roman"/>
                <w:color w:val="auto"/>
              </w:rPr>
              <w:t>　20708</w:t>
            </w:r>
          </w:p>
        </w:tc>
        <w:tc>
          <w:tcPr>
            <w:tcW w:w="3929" w:type="dxa"/>
            <w:gridSpan w:val="2"/>
            <w:tcBorders>
              <w:top w:val="nil"/>
              <w:left w:val="nil"/>
              <w:bottom w:val="single" w:color="auto" w:sz="4" w:space="0"/>
              <w:right w:val="single" w:color="auto" w:sz="4" w:space="0"/>
            </w:tcBorders>
            <w:shd w:val="clear" w:color="000000" w:fill="FFFFFF"/>
            <w:noWrap/>
            <w:vAlign w:val="center"/>
          </w:tcPr>
          <w:p>
            <w:pPr>
              <w:rPr>
                <w:rFonts w:hint="default" w:ascii="Times New Roman" w:hAnsi="Times New Roman" w:eastAsia="宋体" w:cs="Times New Roman"/>
                <w:color w:val="auto"/>
                <w:kern w:val="0"/>
                <w:sz w:val="24"/>
                <w:szCs w:val="24"/>
              </w:rPr>
            </w:pPr>
            <w:r>
              <w:rPr>
                <w:rFonts w:hint="default" w:ascii="Times New Roman" w:hAnsi="Times New Roman" w:cs="Times New Roman"/>
                <w:color w:val="auto"/>
              </w:rPr>
              <w:t>　广播电视</w:t>
            </w:r>
          </w:p>
        </w:tc>
        <w:tc>
          <w:tcPr>
            <w:tcW w:w="166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344.27</w:t>
            </w:r>
          </w:p>
        </w:tc>
        <w:tc>
          <w:tcPr>
            <w:tcW w:w="125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333.31</w:t>
            </w:r>
          </w:p>
        </w:tc>
        <w:tc>
          <w:tcPr>
            <w:tcW w:w="1183" w:type="dxa"/>
            <w:tcBorders>
              <w:top w:val="nil"/>
              <w:left w:val="nil"/>
              <w:bottom w:val="single" w:color="auto" w:sz="4" w:space="0"/>
              <w:right w:val="single" w:color="auto" w:sz="4" w:space="0"/>
            </w:tcBorders>
            <w:shd w:val="clear" w:color="auto" w:fill="auto"/>
            <w:noWrap/>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10.95</w:t>
            </w:r>
          </w:p>
        </w:tc>
        <w:tc>
          <w:tcPr>
            <w:tcW w:w="1167" w:type="dxa"/>
            <w:tcBorders>
              <w:top w:val="nil"/>
              <w:left w:val="nil"/>
              <w:bottom w:val="single" w:color="auto" w:sz="4" w:space="0"/>
              <w:right w:val="single" w:color="auto" w:sz="4" w:space="0"/>
            </w:tcBorders>
            <w:shd w:val="clear" w:color="auto" w:fill="auto"/>
            <w:noWrap/>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c>
          <w:tcPr>
            <w:tcW w:w="1300" w:type="dxa"/>
            <w:tcBorders>
              <w:top w:val="nil"/>
              <w:left w:val="nil"/>
              <w:bottom w:val="single" w:color="auto" w:sz="4" w:space="0"/>
              <w:right w:val="single" w:color="auto" w:sz="4" w:space="0"/>
            </w:tcBorders>
            <w:shd w:val="clear" w:color="auto" w:fill="auto"/>
            <w:noWrap/>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c>
          <w:tcPr>
            <w:tcW w:w="1560" w:type="dxa"/>
            <w:tcBorders>
              <w:top w:val="nil"/>
              <w:left w:val="nil"/>
              <w:bottom w:val="single" w:color="auto" w:sz="4" w:space="0"/>
              <w:right w:val="single" w:color="auto" w:sz="4" w:space="0"/>
            </w:tcBorders>
            <w:shd w:val="clear" w:color="auto" w:fill="auto"/>
            <w:noWrap/>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r>
      <w:tr>
        <w:tblPrEx>
          <w:tblCellMar>
            <w:top w:w="0" w:type="dxa"/>
            <w:left w:w="108" w:type="dxa"/>
            <w:bottom w:w="0" w:type="dxa"/>
            <w:right w:w="108" w:type="dxa"/>
          </w:tblCellMar>
        </w:tblPrEx>
        <w:trPr>
          <w:trHeight w:val="450" w:hRule="atLeast"/>
        </w:trPr>
        <w:tc>
          <w:tcPr>
            <w:tcW w:w="1127"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hint="default" w:ascii="Times New Roman" w:hAnsi="Times New Roman" w:eastAsia="宋体" w:cs="Times New Roman"/>
                <w:color w:val="auto"/>
                <w:kern w:val="0"/>
                <w:sz w:val="24"/>
                <w:szCs w:val="24"/>
              </w:rPr>
            </w:pPr>
            <w:r>
              <w:rPr>
                <w:rFonts w:hint="default" w:ascii="Times New Roman" w:hAnsi="Times New Roman" w:cs="Times New Roman"/>
                <w:color w:val="auto"/>
              </w:rPr>
              <w:t>　2070804</w:t>
            </w:r>
          </w:p>
        </w:tc>
        <w:tc>
          <w:tcPr>
            <w:tcW w:w="3929" w:type="dxa"/>
            <w:gridSpan w:val="2"/>
            <w:tcBorders>
              <w:top w:val="nil"/>
              <w:left w:val="nil"/>
              <w:bottom w:val="single" w:color="auto" w:sz="4" w:space="0"/>
              <w:right w:val="single" w:color="auto" w:sz="4" w:space="0"/>
            </w:tcBorders>
            <w:shd w:val="clear" w:color="000000" w:fill="FFFFFF"/>
            <w:noWrap/>
            <w:vAlign w:val="center"/>
          </w:tcPr>
          <w:p>
            <w:pPr>
              <w:rPr>
                <w:rFonts w:hint="default" w:ascii="Times New Roman" w:hAnsi="Times New Roman" w:eastAsia="宋体" w:cs="Times New Roman"/>
                <w:color w:val="auto"/>
                <w:kern w:val="0"/>
                <w:sz w:val="24"/>
                <w:szCs w:val="24"/>
              </w:rPr>
            </w:pPr>
            <w:r>
              <w:rPr>
                <w:rFonts w:hint="default" w:ascii="Times New Roman" w:hAnsi="Times New Roman" w:cs="Times New Roman"/>
                <w:color w:val="auto"/>
              </w:rPr>
              <w:t>　广播</w:t>
            </w:r>
          </w:p>
        </w:tc>
        <w:tc>
          <w:tcPr>
            <w:tcW w:w="166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333.31</w:t>
            </w:r>
          </w:p>
        </w:tc>
        <w:tc>
          <w:tcPr>
            <w:tcW w:w="125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333.31</w:t>
            </w:r>
          </w:p>
        </w:tc>
        <w:tc>
          <w:tcPr>
            <w:tcW w:w="1183" w:type="dxa"/>
            <w:tcBorders>
              <w:top w:val="nil"/>
              <w:left w:val="nil"/>
              <w:bottom w:val="single" w:color="auto" w:sz="4" w:space="0"/>
              <w:right w:val="single" w:color="auto" w:sz="4" w:space="0"/>
            </w:tcBorders>
            <w:shd w:val="clear" w:color="auto" w:fill="auto"/>
            <w:noWrap/>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c>
          <w:tcPr>
            <w:tcW w:w="1167" w:type="dxa"/>
            <w:tcBorders>
              <w:top w:val="nil"/>
              <w:left w:val="nil"/>
              <w:bottom w:val="single" w:color="auto" w:sz="4" w:space="0"/>
              <w:right w:val="single" w:color="auto" w:sz="4" w:space="0"/>
            </w:tcBorders>
            <w:shd w:val="clear" w:color="auto" w:fill="auto"/>
            <w:noWrap/>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c>
          <w:tcPr>
            <w:tcW w:w="1300" w:type="dxa"/>
            <w:tcBorders>
              <w:top w:val="nil"/>
              <w:left w:val="nil"/>
              <w:bottom w:val="single" w:color="auto" w:sz="4" w:space="0"/>
              <w:right w:val="single" w:color="auto" w:sz="4" w:space="0"/>
            </w:tcBorders>
            <w:shd w:val="clear" w:color="auto" w:fill="auto"/>
            <w:noWrap/>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c>
          <w:tcPr>
            <w:tcW w:w="1560" w:type="dxa"/>
            <w:tcBorders>
              <w:top w:val="nil"/>
              <w:left w:val="nil"/>
              <w:bottom w:val="single" w:color="auto" w:sz="4" w:space="0"/>
              <w:right w:val="single" w:color="auto" w:sz="4" w:space="0"/>
            </w:tcBorders>
            <w:shd w:val="clear" w:color="auto" w:fill="auto"/>
            <w:noWrap/>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r>
      <w:tr>
        <w:tblPrEx>
          <w:tblCellMar>
            <w:top w:w="0" w:type="dxa"/>
            <w:left w:w="108" w:type="dxa"/>
            <w:bottom w:w="0" w:type="dxa"/>
            <w:right w:w="108" w:type="dxa"/>
          </w:tblCellMar>
        </w:tblPrEx>
        <w:trPr>
          <w:trHeight w:val="450" w:hRule="atLeast"/>
        </w:trPr>
        <w:tc>
          <w:tcPr>
            <w:tcW w:w="1127"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hint="default" w:ascii="Times New Roman" w:hAnsi="Times New Roman" w:eastAsia="宋体" w:cs="Times New Roman"/>
                <w:color w:val="auto"/>
                <w:kern w:val="0"/>
                <w:sz w:val="24"/>
                <w:szCs w:val="24"/>
              </w:rPr>
            </w:pPr>
            <w:r>
              <w:rPr>
                <w:rFonts w:hint="default" w:ascii="Times New Roman" w:hAnsi="Times New Roman" w:cs="Times New Roman"/>
                <w:color w:val="auto"/>
              </w:rPr>
              <w:t>　2070899</w:t>
            </w:r>
          </w:p>
        </w:tc>
        <w:tc>
          <w:tcPr>
            <w:tcW w:w="3929" w:type="dxa"/>
            <w:gridSpan w:val="2"/>
            <w:tcBorders>
              <w:top w:val="nil"/>
              <w:left w:val="nil"/>
              <w:bottom w:val="single" w:color="auto" w:sz="4" w:space="0"/>
              <w:right w:val="single" w:color="auto" w:sz="4" w:space="0"/>
            </w:tcBorders>
            <w:shd w:val="clear" w:color="000000" w:fill="FFFFFF"/>
            <w:noWrap/>
            <w:vAlign w:val="center"/>
          </w:tcPr>
          <w:p>
            <w:pPr>
              <w:rPr>
                <w:rFonts w:hint="default" w:ascii="Times New Roman" w:hAnsi="Times New Roman" w:eastAsia="宋体" w:cs="Times New Roman"/>
                <w:color w:val="auto"/>
                <w:kern w:val="0"/>
                <w:sz w:val="24"/>
                <w:szCs w:val="24"/>
              </w:rPr>
            </w:pPr>
            <w:r>
              <w:rPr>
                <w:rFonts w:hint="default" w:ascii="Times New Roman" w:hAnsi="Times New Roman" w:cs="Times New Roman"/>
                <w:color w:val="auto"/>
              </w:rPr>
              <w:t>　  其他广播电视支出</w:t>
            </w:r>
          </w:p>
        </w:tc>
        <w:tc>
          <w:tcPr>
            <w:tcW w:w="166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10.95</w:t>
            </w:r>
          </w:p>
        </w:tc>
        <w:tc>
          <w:tcPr>
            <w:tcW w:w="125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2"/>
              </w:rPr>
              <w:t>0.00</w:t>
            </w:r>
          </w:p>
        </w:tc>
        <w:tc>
          <w:tcPr>
            <w:tcW w:w="1183" w:type="dxa"/>
            <w:tcBorders>
              <w:top w:val="nil"/>
              <w:left w:val="nil"/>
              <w:bottom w:val="single" w:color="auto" w:sz="4" w:space="0"/>
              <w:right w:val="single" w:color="auto" w:sz="4" w:space="0"/>
            </w:tcBorders>
            <w:shd w:val="clear" w:color="auto" w:fill="auto"/>
            <w:noWrap/>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10.95</w:t>
            </w:r>
          </w:p>
        </w:tc>
        <w:tc>
          <w:tcPr>
            <w:tcW w:w="1167" w:type="dxa"/>
            <w:tcBorders>
              <w:top w:val="nil"/>
              <w:left w:val="nil"/>
              <w:bottom w:val="single" w:color="auto" w:sz="4" w:space="0"/>
              <w:right w:val="single" w:color="auto" w:sz="4" w:space="0"/>
            </w:tcBorders>
            <w:shd w:val="clear" w:color="auto" w:fill="auto"/>
            <w:noWrap/>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c>
          <w:tcPr>
            <w:tcW w:w="1300" w:type="dxa"/>
            <w:tcBorders>
              <w:top w:val="nil"/>
              <w:left w:val="nil"/>
              <w:bottom w:val="single" w:color="auto" w:sz="4" w:space="0"/>
              <w:right w:val="single" w:color="auto" w:sz="4" w:space="0"/>
            </w:tcBorders>
            <w:shd w:val="clear" w:color="auto" w:fill="auto"/>
            <w:noWrap/>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c>
          <w:tcPr>
            <w:tcW w:w="1560" w:type="dxa"/>
            <w:tcBorders>
              <w:top w:val="nil"/>
              <w:left w:val="nil"/>
              <w:bottom w:val="single" w:color="auto" w:sz="4" w:space="0"/>
              <w:right w:val="single" w:color="auto" w:sz="4" w:space="0"/>
            </w:tcBorders>
            <w:shd w:val="clear" w:color="auto" w:fill="auto"/>
            <w:noWrap/>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r>
      <w:tr>
        <w:tblPrEx>
          <w:tblCellMar>
            <w:top w:w="0" w:type="dxa"/>
            <w:left w:w="108" w:type="dxa"/>
            <w:bottom w:w="0" w:type="dxa"/>
            <w:right w:w="108" w:type="dxa"/>
          </w:tblCellMar>
        </w:tblPrEx>
        <w:trPr>
          <w:trHeight w:val="450" w:hRule="atLeast"/>
        </w:trPr>
        <w:tc>
          <w:tcPr>
            <w:tcW w:w="1127"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hint="default" w:ascii="Times New Roman" w:hAnsi="Times New Roman" w:eastAsia="宋体" w:cs="Times New Roman"/>
                <w:color w:val="auto"/>
                <w:kern w:val="0"/>
                <w:sz w:val="24"/>
                <w:szCs w:val="24"/>
              </w:rPr>
            </w:pPr>
            <w:r>
              <w:rPr>
                <w:rFonts w:hint="default" w:ascii="Times New Roman" w:hAnsi="Times New Roman" w:cs="Times New Roman"/>
                <w:color w:val="auto"/>
              </w:rPr>
              <w:t>208</w:t>
            </w:r>
          </w:p>
        </w:tc>
        <w:tc>
          <w:tcPr>
            <w:tcW w:w="3929" w:type="dxa"/>
            <w:gridSpan w:val="2"/>
            <w:tcBorders>
              <w:top w:val="nil"/>
              <w:left w:val="nil"/>
              <w:bottom w:val="single" w:color="auto" w:sz="4" w:space="0"/>
              <w:right w:val="single" w:color="auto" w:sz="4" w:space="0"/>
            </w:tcBorders>
            <w:shd w:val="clear" w:color="000000" w:fill="FFFFFF"/>
            <w:noWrap/>
            <w:vAlign w:val="center"/>
          </w:tcPr>
          <w:p>
            <w:pPr>
              <w:rPr>
                <w:rFonts w:hint="default" w:ascii="Times New Roman" w:hAnsi="Times New Roman" w:eastAsia="宋体" w:cs="Times New Roman"/>
                <w:color w:val="auto"/>
                <w:kern w:val="0"/>
                <w:sz w:val="24"/>
                <w:szCs w:val="24"/>
              </w:rPr>
            </w:pPr>
            <w:r>
              <w:rPr>
                <w:rFonts w:hint="default" w:ascii="Times New Roman" w:hAnsi="Times New Roman" w:cs="Times New Roman"/>
                <w:color w:val="auto"/>
              </w:rPr>
              <w:t>社会保障和就业支出</w:t>
            </w:r>
          </w:p>
        </w:tc>
        <w:tc>
          <w:tcPr>
            <w:tcW w:w="166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46.5</w:t>
            </w:r>
            <w:r>
              <w:rPr>
                <w:rFonts w:hint="default" w:ascii="Times New Roman" w:hAnsi="Times New Roman" w:eastAsia="宋体" w:cs="Times New Roman"/>
                <w:color w:val="auto"/>
                <w:kern w:val="0"/>
                <w:sz w:val="24"/>
                <w:szCs w:val="24"/>
              </w:rPr>
              <w:t>0</w:t>
            </w:r>
          </w:p>
        </w:tc>
        <w:tc>
          <w:tcPr>
            <w:tcW w:w="125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46.5</w:t>
            </w:r>
          </w:p>
        </w:tc>
        <w:tc>
          <w:tcPr>
            <w:tcW w:w="1183" w:type="dxa"/>
            <w:tcBorders>
              <w:top w:val="nil"/>
              <w:left w:val="nil"/>
              <w:bottom w:val="single" w:color="auto" w:sz="4" w:space="0"/>
              <w:right w:val="single" w:color="auto" w:sz="4" w:space="0"/>
            </w:tcBorders>
            <w:shd w:val="clear" w:color="auto" w:fill="auto"/>
            <w:noWrap/>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c>
          <w:tcPr>
            <w:tcW w:w="1167" w:type="dxa"/>
            <w:tcBorders>
              <w:top w:val="nil"/>
              <w:left w:val="nil"/>
              <w:bottom w:val="single" w:color="auto" w:sz="4" w:space="0"/>
              <w:right w:val="single" w:color="auto" w:sz="4" w:space="0"/>
            </w:tcBorders>
            <w:shd w:val="clear" w:color="auto" w:fill="auto"/>
            <w:noWrap/>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c>
          <w:tcPr>
            <w:tcW w:w="1300" w:type="dxa"/>
            <w:tcBorders>
              <w:top w:val="nil"/>
              <w:left w:val="nil"/>
              <w:bottom w:val="single" w:color="auto" w:sz="4" w:space="0"/>
              <w:right w:val="single" w:color="auto" w:sz="4" w:space="0"/>
            </w:tcBorders>
            <w:shd w:val="clear" w:color="auto" w:fill="auto"/>
            <w:noWrap/>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c>
          <w:tcPr>
            <w:tcW w:w="1560" w:type="dxa"/>
            <w:tcBorders>
              <w:top w:val="nil"/>
              <w:left w:val="nil"/>
              <w:bottom w:val="single" w:color="auto" w:sz="4" w:space="0"/>
              <w:right w:val="single" w:color="auto" w:sz="4" w:space="0"/>
            </w:tcBorders>
            <w:shd w:val="clear" w:color="auto" w:fill="auto"/>
            <w:noWrap/>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r>
      <w:tr>
        <w:tblPrEx>
          <w:tblCellMar>
            <w:top w:w="0" w:type="dxa"/>
            <w:left w:w="108" w:type="dxa"/>
            <w:bottom w:w="0" w:type="dxa"/>
            <w:right w:w="108" w:type="dxa"/>
          </w:tblCellMar>
        </w:tblPrEx>
        <w:trPr>
          <w:trHeight w:val="450" w:hRule="atLeast"/>
        </w:trPr>
        <w:tc>
          <w:tcPr>
            <w:tcW w:w="1127"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hint="default" w:ascii="Times New Roman" w:hAnsi="Times New Roman" w:eastAsia="宋体" w:cs="Times New Roman"/>
                <w:color w:val="auto"/>
                <w:kern w:val="0"/>
                <w:sz w:val="24"/>
                <w:szCs w:val="24"/>
              </w:rPr>
            </w:pPr>
            <w:r>
              <w:rPr>
                <w:rFonts w:hint="default" w:ascii="Times New Roman" w:hAnsi="Times New Roman" w:cs="Times New Roman"/>
                <w:color w:val="auto"/>
              </w:rPr>
              <w:t>20805</w:t>
            </w:r>
          </w:p>
        </w:tc>
        <w:tc>
          <w:tcPr>
            <w:tcW w:w="3929" w:type="dxa"/>
            <w:gridSpan w:val="2"/>
            <w:tcBorders>
              <w:top w:val="nil"/>
              <w:left w:val="nil"/>
              <w:bottom w:val="single" w:color="auto" w:sz="4" w:space="0"/>
              <w:right w:val="single" w:color="auto" w:sz="4" w:space="0"/>
            </w:tcBorders>
            <w:shd w:val="clear" w:color="000000" w:fill="FFFFFF"/>
            <w:noWrap/>
            <w:vAlign w:val="center"/>
          </w:tcPr>
          <w:p>
            <w:pPr>
              <w:rPr>
                <w:rFonts w:hint="default" w:ascii="Times New Roman" w:hAnsi="Times New Roman" w:eastAsia="宋体" w:cs="Times New Roman"/>
                <w:color w:val="auto"/>
                <w:kern w:val="0"/>
                <w:sz w:val="24"/>
                <w:szCs w:val="24"/>
              </w:rPr>
            </w:pPr>
            <w:r>
              <w:rPr>
                <w:rFonts w:hint="default" w:ascii="Times New Roman" w:hAnsi="Times New Roman" w:cs="Times New Roman"/>
                <w:color w:val="auto"/>
              </w:rPr>
              <w:t>行政事业单位养老支出</w:t>
            </w:r>
          </w:p>
        </w:tc>
        <w:tc>
          <w:tcPr>
            <w:tcW w:w="166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46.5</w:t>
            </w:r>
            <w:r>
              <w:rPr>
                <w:rFonts w:hint="default" w:ascii="Times New Roman" w:hAnsi="Times New Roman" w:eastAsia="宋体" w:cs="Times New Roman"/>
                <w:color w:val="auto"/>
                <w:kern w:val="0"/>
                <w:sz w:val="24"/>
                <w:szCs w:val="24"/>
              </w:rPr>
              <w:t>0</w:t>
            </w:r>
          </w:p>
        </w:tc>
        <w:tc>
          <w:tcPr>
            <w:tcW w:w="125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46.5</w:t>
            </w:r>
          </w:p>
        </w:tc>
        <w:tc>
          <w:tcPr>
            <w:tcW w:w="1183" w:type="dxa"/>
            <w:tcBorders>
              <w:top w:val="nil"/>
              <w:left w:val="nil"/>
              <w:bottom w:val="single" w:color="auto" w:sz="4" w:space="0"/>
              <w:right w:val="single" w:color="auto" w:sz="4" w:space="0"/>
            </w:tcBorders>
            <w:shd w:val="clear" w:color="auto" w:fill="auto"/>
            <w:noWrap/>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c>
          <w:tcPr>
            <w:tcW w:w="1167" w:type="dxa"/>
            <w:tcBorders>
              <w:top w:val="nil"/>
              <w:left w:val="nil"/>
              <w:bottom w:val="single" w:color="auto" w:sz="4" w:space="0"/>
              <w:right w:val="single" w:color="auto" w:sz="4" w:space="0"/>
            </w:tcBorders>
            <w:shd w:val="clear" w:color="auto" w:fill="auto"/>
            <w:noWrap/>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c>
          <w:tcPr>
            <w:tcW w:w="1300" w:type="dxa"/>
            <w:tcBorders>
              <w:top w:val="nil"/>
              <w:left w:val="nil"/>
              <w:bottom w:val="single" w:color="auto" w:sz="4" w:space="0"/>
              <w:right w:val="single" w:color="auto" w:sz="4" w:space="0"/>
            </w:tcBorders>
            <w:shd w:val="clear" w:color="auto" w:fill="auto"/>
            <w:noWrap/>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c>
          <w:tcPr>
            <w:tcW w:w="1560" w:type="dxa"/>
            <w:tcBorders>
              <w:top w:val="nil"/>
              <w:left w:val="nil"/>
              <w:bottom w:val="single" w:color="auto" w:sz="4" w:space="0"/>
              <w:right w:val="single" w:color="auto" w:sz="4" w:space="0"/>
            </w:tcBorders>
            <w:shd w:val="clear" w:color="auto" w:fill="auto"/>
            <w:noWrap/>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r>
      <w:tr>
        <w:tblPrEx>
          <w:tblCellMar>
            <w:top w:w="0" w:type="dxa"/>
            <w:left w:w="108" w:type="dxa"/>
            <w:bottom w:w="0" w:type="dxa"/>
            <w:right w:w="108" w:type="dxa"/>
          </w:tblCellMar>
        </w:tblPrEx>
        <w:trPr>
          <w:trHeight w:val="450" w:hRule="atLeast"/>
        </w:trPr>
        <w:tc>
          <w:tcPr>
            <w:tcW w:w="1127"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hint="default" w:ascii="Times New Roman" w:hAnsi="Times New Roman" w:eastAsia="宋体" w:cs="Times New Roman"/>
                <w:color w:val="auto"/>
                <w:kern w:val="0"/>
                <w:sz w:val="24"/>
                <w:szCs w:val="24"/>
              </w:rPr>
            </w:pPr>
            <w:r>
              <w:rPr>
                <w:rFonts w:hint="default" w:ascii="Times New Roman" w:hAnsi="Times New Roman" w:cs="Times New Roman"/>
                <w:color w:val="auto"/>
              </w:rPr>
              <w:t>2080505</w:t>
            </w:r>
          </w:p>
        </w:tc>
        <w:tc>
          <w:tcPr>
            <w:tcW w:w="3929" w:type="dxa"/>
            <w:gridSpan w:val="2"/>
            <w:tcBorders>
              <w:top w:val="nil"/>
              <w:left w:val="nil"/>
              <w:bottom w:val="single" w:color="auto" w:sz="4" w:space="0"/>
              <w:right w:val="single" w:color="auto" w:sz="4" w:space="0"/>
            </w:tcBorders>
            <w:shd w:val="clear" w:color="000000" w:fill="FFFFFF"/>
            <w:noWrap/>
            <w:vAlign w:val="center"/>
          </w:tcPr>
          <w:p>
            <w:pPr>
              <w:rPr>
                <w:rFonts w:hint="default" w:ascii="Times New Roman" w:hAnsi="Times New Roman" w:eastAsia="宋体" w:cs="Times New Roman"/>
                <w:color w:val="auto"/>
                <w:kern w:val="0"/>
                <w:sz w:val="24"/>
                <w:szCs w:val="24"/>
              </w:rPr>
            </w:pPr>
            <w:r>
              <w:rPr>
                <w:rFonts w:hint="default" w:ascii="Times New Roman" w:hAnsi="Times New Roman" w:cs="Times New Roman"/>
                <w:color w:val="auto"/>
              </w:rPr>
              <w:t xml:space="preserve"> 机关事业单位基本养老保险缴费支出</w:t>
            </w:r>
          </w:p>
        </w:tc>
        <w:tc>
          <w:tcPr>
            <w:tcW w:w="166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40</w:t>
            </w:r>
            <w:r>
              <w:rPr>
                <w:rFonts w:hint="default" w:ascii="Times New Roman" w:hAnsi="Times New Roman" w:eastAsia="宋体" w:cs="Times New Roman"/>
                <w:color w:val="auto"/>
                <w:kern w:val="0"/>
                <w:sz w:val="24"/>
                <w:szCs w:val="24"/>
              </w:rPr>
              <w:t>.00</w:t>
            </w:r>
          </w:p>
        </w:tc>
        <w:tc>
          <w:tcPr>
            <w:tcW w:w="125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40</w:t>
            </w:r>
            <w:r>
              <w:rPr>
                <w:rFonts w:hint="default" w:ascii="Times New Roman" w:hAnsi="Times New Roman" w:eastAsia="宋体" w:cs="Times New Roman"/>
                <w:color w:val="auto"/>
                <w:kern w:val="0"/>
                <w:sz w:val="24"/>
                <w:szCs w:val="24"/>
              </w:rPr>
              <w:t>.00</w:t>
            </w:r>
          </w:p>
        </w:tc>
        <w:tc>
          <w:tcPr>
            <w:tcW w:w="1183" w:type="dxa"/>
            <w:tcBorders>
              <w:top w:val="nil"/>
              <w:left w:val="nil"/>
              <w:bottom w:val="single" w:color="auto" w:sz="4" w:space="0"/>
              <w:right w:val="single" w:color="auto" w:sz="4" w:space="0"/>
            </w:tcBorders>
            <w:shd w:val="clear" w:color="auto" w:fill="auto"/>
            <w:noWrap/>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c>
          <w:tcPr>
            <w:tcW w:w="1167" w:type="dxa"/>
            <w:tcBorders>
              <w:top w:val="nil"/>
              <w:left w:val="nil"/>
              <w:bottom w:val="single" w:color="auto" w:sz="4" w:space="0"/>
              <w:right w:val="single" w:color="auto" w:sz="4" w:space="0"/>
            </w:tcBorders>
            <w:shd w:val="clear" w:color="auto" w:fill="auto"/>
            <w:noWrap/>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c>
          <w:tcPr>
            <w:tcW w:w="1300" w:type="dxa"/>
            <w:tcBorders>
              <w:top w:val="nil"/>
              <w:left w:val="nil"/>
              <w:bottom w:val="single" w:color="auto" w:sz="4" w:space="0"/>
              <w:right w:val="single" w:color="auto" w:sz="4" w:space="0"/>
            </w:tcBorders>
            <w:shd w:val="clear" w:color="auto" w:fill="auto"/>
            <w:noWrap/>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c>
          <w:tcPr>
            <w:tcW w:w="1560" w:type="dxa"/>
            <w:tcBorders>
              <w:top w:val="nil"/>
              <w:left w:val="nil"/>
              <w:bottom w:val="single" w:color="auto" w:sz="4" w:space="0"/>
              <w:right w:val="single" w:color="auto" w:sz="4" w:space="0"/>
            </w:tcBorders>
            <w:shd w:val="clear" w:color="auto" w:fill="auto"/>
            <w:noWrap/>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r>
      <w:tr>
        <w:tblPrEx>
          <w:tblCellMar>
            <w:top w:w="0" w:type="dxa"/>
            <w:left w:w="108" w:type="dxa"/>
            <w:bottom w:w="0" w:type="dxa"/>
            <w:right w:w="108" w:type="dxa"/>
          </w:tblCellMar>
        </w:tblPrEx>
        <w:trPr>
          <w:trHeight w:val="450" w:hRule="atLeast"/>
        </w:trPr>
        <w:tc>
          <w:tcPr>
            <w:tcW w:w="1127"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hint="default" w:ascii="Times New Roman" w:hAnsi="Times New Roman" w:eastAsia="宋体" w:cs="Times New Roman"/>
                <w:color w:val="auto"/>
                <w:kern w:val="0"/>
                <w:sz w:val="24"/>
                <w:szCs w:val="24"/>
              </w:rPr>
            </w:pPr>
            <w:r>
              <w:rPr>
                <w:rFonts w:hint="default" w:ascii="Times New Roman" w:hAnsi="Times New Roman" w:cs="Times New Roman"/>
                <w:color w:val="auto"/>
              </w:rPr>
              <w:t>2080506</w:t>
            </w:r>
          </w:p>
        </w:tc>
        <w:tc>
          <w:tcPr>
            <w:tcW w:w="3929" w:type="dxa"/>
            <w:gridSpan w:val="2"/>
            <w:tcBorders>
              <w:top w:val="nil"/>
              <w:left w:val="nil"/>
              <w:bottom w:val="single" w:color="auto" w:sz="4" w:space="0"/>
              <w:right w:val="single" w:color="auto" w:sz="4" w:space="0"/>
            </w:tcBorders>
            <w:shd w:val="clear" w:color="000000" w:fill="FFFFFF"/>
            <w:noWrap/>
            <w:vAlign w:val="center"/>
          </w:tcPr>
          <w:p>
            <w:pPr>
              <w:rPr>
                <w:rFonts w:hint="default" w:ascii="Times New Roman" w:hAnsi="Times New Roman" w:eastAsia="宋体" w:cs="Times New Roman"/>
                <w:color w:val="auto"/>
                <w:kern w:val="0"/>
                <w:sz w:val="24"/>
                <w:szCs w:val="24"/>
              </w:rPr>
            </w:pPr>
            <w:r>
              <w:rPr>
                <w:rFonts w:hint="default" w:ascii="Times New Roman" w:hAnsi="Times New Roman" w:cs="Times New Roman"/>
                <w:color w:val="auto"/>
              </w:rPr>
              <w:t>机关事业单位职业年金缴费支出</w:t>
            </w:r>
          </w:p>
        </w:tc>
        <w:tc>
          <w:tcPr>
            <w:tcW w:w="166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6.5</w:t>
            </w:r>
            <w:r>
              <w:rPr>
                <w:rFonts w:hint="default" w:ascii="Times New Roman" w:hAnsi="Times New Roman" w:eastAsia="宋体" w:cs="Times New Roman"/>
                <w:color w:val="auto"/>
                <w:kern w:val="0"/>
                <w:sz w:val="24"/>
                <w:szCs w:val="24"/>
              </w:rPr>
              <w:t>0</w:t>
            </w:r>
          </w:p>
        </w:tc>
        <w:tc>
          <w:tcPr>
            <w:tcW w:w="125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6.5</w:t>
            </w:r>
            <w:r>
              <w:rPr>
                <w:rFonts w:hint="default" w:ascii="Times New Roman" w:hAnsi="Times New Roman" w:eastAsia="宋体" w:cs="Times New Roman"/>
                <w:color w:val="auto"/>
                <w:kern w:val="0"/>
                <w:sz w:val="24"/>
                <w:szCs w:val="24"/>
              </w:rPr>
              <w:t>0</w:t>
            </w:r>
          </w:p>
        </w:tc>
        <w:tc>
          <w:tcPr>
            <w:tcW w:w="1183" w:type="dxa"/>
            <w:tcBorders>
              <w:top w:val="nil"/>
              <w:left w:val="nil"/>
              <w:bottom w:val="single" w:color="auto" w:sz="4" w:space="0"/>
              <w:right w:val="single" w:color="auto" w:sz="4" w:space="0"/>
            </w:tcBorders>
            <w:shd w:val="clear" w:color="auto" w:fill="auto"/>
            <w:noWrap/>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c>
          <w:tcPr>
            <w:tcW w:w="1167" w:type="dxa"/>
            <w:tcBorders>
              <w:top w:val="nil"/>
              <w:left w:val="nil"/>
              <w:bottom w:val="single" w:color="auto" w:sz="4" w:space="0"/>
              <w:right w:val="single" w:color="auto" w:sz="4" w:space="0"/>
            </w:tcBorders>
            <w:shd w:val="clear" w:color="auto" w:fill="auto"/>
            <w:noWrap/>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c>
          <w:tcPr>
            <w:tcW w:w="1300" w:type="dxa"/>
            <w:tcBorders>
              <w:top w:val="nil"/>
              <w:left w:val="nil"/>
              <w:bottom w:val="single" w:color="auto" w:sz="4" w:space="0"/>
              <w:right w:val="single" w:color="auto" w:sz="4" w:space="0"/>
            </w:tcBorders>
            <w:shd w:val="clear" w:color="auto" w:fill="auto"/>
            <w:noWrap/>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c>
          <w:tcPr>
            <w:tcW w:w="1560" w:type="dxa"/>
            <w:tcBorders>
              <w:top w:val="nil"/>
              <w:left w:val="nil"/>
              <w:bottom w:val="single" w:color="auto" w:sz="4" w:space="0"/>
              <w:right w:val="single" w:color="auto" w:sz="4" w:space="0"/>
            </w:tcBorders>
            <w:shd w:val="clear" w:color="auto" w:fill="auto"/>
            <w:noWrap/>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r>
      <w:tr>
        <w:tblPrEx>
          <w:tblCellMar>
            <w:top w:w="0" w:type="dxa"/>
            <w:left w:w="108" w:type="dxa"/>
            <w:bottom w:w="0" w:type="dxa"/>
            <w:right w:w="108" w:type="dxa"/>
          </w:tblCellMar>
        </w:tblPrEx>
        <w:trPr>
          <w:trHeight w:val="450" w:hRule="atLeast"/>
        </w:trPr>
        <w:tc>
          <w:tcPr>
            <w:tcW w:w="1127"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hint="default" w:ascii="Times New Roman" w:hAnsi="Times New Roman" w:eastAsia="宋体" w:cs="Times New Roman"/>
                <w:color w:val="auto"/>
                <w:kern w:val="0"/>
                <w:sz w:val="24"/>
                <w:szCs w:val="24"/>
              </w:rPr>
            </w:pPr>
            <w:r>
              <w:rPr>
                <w:rFonts w:hint="default" w:ascii="Times New Roman" w:hAnsi="Times New Roman" w:cs="Times New Roman"/>
                <w:color w:val="auto"/>
              </w:rPr>
              <w:t>221</w:t>
            </w:r>
          </w:p>
        </w:tc>
        <w:tc>
          <w:tcPr>
            <w:tcW w:w="3929" w:type="dxa"/>
            <w:gridSpan w:val="2"/>
            <w:tcBorders>
              <w:top w:val="nil"/>
              <w:left w:val="nil"/>
              <w:bottom w:val="single" w:color="auto" w:sz="4" w:space="0"/>
              <w:right w:val="single" w:color="auto" w:sz="4" w:space="0"/>
            </w:tcBorders>
            <w:shd w:val="clear" w:color="000000" w:fill="FFFFFF"/>
            <w:noWrap/>
            <w:vAlign w:val="center"/>
          </w:tcPr>
          <w:p>
            <w:pPr>
              <w:rPr>
                <w:rFonts w:hint="default" w:ascii="Times New Roman" w:hAnsi="Times New Roman" w:eastAsia="宋体" w:cs="Times New Roman"/>
                <w:color w:val="auto"/>
                <w:kern w:val="0"/>
                <w:sz w:val="24"/>
                <w:szCs w:val="24"/>
              </w:rPr>
            </w:pPr>
            <w:r>
              <w:rPr>
                <w:rFonts w:hint="default" w:ascii="Times New Roman" w:hAnsi="Times New Roman" w:cs="Times New Roman"/>
                <w:color w:val="auto"/>
              </w:rPr>
              <w:t>住房保障支出</w:t>
            </w:r>
          </w:p>
        </w:tc>
        <w:tc>
          <w:tcPr>
            <w:tcW w:w="166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25</w:t>
            </w:r>
            <w:r>
              <w:rPr>
                <w:rFonts w:hint="default" w:ascii="Times New Roman" w:hAnsi="Times New Roman" w:eastAsia="宋体" w:cs="Times New Roman"/>
                <w:color w:val="auto"/>
                <w:kern w:val="0"/>
                <w:sz w:val="24"/>
                <w:szCs w:val="24"/>
              </w:rPr>
              <w:t>.00</w:t>
            </w:r>
          </w:p>
        </w:tc>
        <w:tc>
          <w:tcPr>
            <w:tcW w:w="125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25</w:t>
            </w:r>
            <w:r>
              <w:rPr>
                <w:rFonts w:hint="default" w:ascii="Times New Roman" w:hAnsi="Times New Roman" w:eastAsia="宋体" w:cs="Times New Roman"/>
                <w:color w:val="auto"/>
                <w:kern w:val="0"/>
                <w:sz w:val="24"/>
                <w:szCs w:val="24"/>
              </w:rPr>
              <w:t>.00</w:t>
            </w:r>
          </w:p>
        </w:tc>
        <w:tc>
          <w:tcPr>
            <w:tcW w:w="1183" w:type="dxa"/>
            <w:tcBorders>
              <w:top w:val="nil"/>
              <w:left w:val="nil"/>
              <w:bottom w:val="single" w:color="auto" w:sz="4" w:space="0"/>
              <w:right w:val="single" w:color="auto" w:sz="4" w:space="0"/>
            </w:tcBorders>
            <w:shd w:val="clear" w:color="auto" w:fill="auto"/>
            <w:noWrap/>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c>
          <w:tcPr>
            <w:tcW w:w="1167" w:type="dxa"/>
            <w:tcBorders>
              <w:top w:val="nil"/>
              <w:left w:val="nil"/>
              <w:bottom w:val="single" w:color="auto" w:sz="4" w:space="0"/>
              <w:right w:val="single" w:color="auto" w:sz="4" w:space="0"/>
            </w:tcBorders>
            <w:shd w:val="clear" w:color="auto" w:fill="auto"/>
            <w:noWrap/>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c>
          <w:tcPr>
            <w:tcW w:w="1300" w:type="dxa"/>
            <w:tcBorders>
              <w:top w:val="nil"/>
              <w:left w:val="nil"/>
              <w:bottom w:val="single" w:color="auto" w:sz="4" w:space="0"/>
              <w:right w:val="single" w:color="auto" w:sz="4" w:space="0"/>
            </w:tcBorders>
            <w:shd w:val="clear" w:color="auto" w:fill="auto"/>
            <w:noWrap/>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c>
          <w:tcPr>
            <w:tcW w:w="1560" w:type="dxa"/>
            <w:tcBorders>
              <w:top w:val="nil"/>
              <w:left w:val="nil"/>
              <w:bottom w:val="single" w:color="auto" w:sz="4" w:space="0"/>
              <w:right w:val="single" w:color="auto" w:sz="4" w:space="0"/>
            </w:tcBorders>
            <w:shd w:val="clear" w:color="auto" w:fill="auto"/>
            <w:noWrap/>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r>
      <w:tr>
        <w:tblPrEx>
          <w:tblCellMar>
            <w:top w:w="0" w:type="dxa"/>
            <w:left w:w="108" w:type="dxa"/>
            <w:bottom w:w="0" w:type="dxa"/>
            <w:right w:w="108" w:type="dxa"/>
          </w:tblCellMar>
        </w:tblPrEx>
        <w:trPr>
          <w:trHeight w:val="450" w:hRule="atLeast"/>
        </w:trPr>
        <w:tc>
          <w:tcPr>
            <w:tcW w:w="1127"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hint="default" w:ascii="Times New Roman" w:hAnsi="Times New Roman" w:eastAsia="宋体" w:cs="Times New Roman"/>
                <w:color w:val="auto"/>
                <w:kern w:val="0"/>
                <w:sz w:val="24"/>
                <w:szCs w:val="24"/>
              </w:rPr>
            </w:pPr>
            <w:r>
              <w:rPr>
                <w:rFonts w:hint="default" w:ascii="Times New Roman" w:hAnsi="Times New Roman" w:cs="Times New Roman"/>
                <w:color w:val="auto"/>
              </w:rPr>
              <w:t>　22102</w:t>
            </w:r>
          </w:p>
        </w:tc>
        <w:tc>
          <w:tcPr>
            <w:tcW w:w="3929" w:type="dxa"/>
            <w:gridSpan w:val="2"/>
            <w:tcBorders>
              <w:top w:val="nil"/>
              <w:left w:val="nil"/>
              <w:bottom w:val="single" w:color="auto" w:sz="4" w:space="0"/>
              <w:right w:val="single" w:color="auto" w:sz="4" w:space="0"/>
            </w:tcBorders>
            <w:shd w:val="clear" w:color="000000" w:fill="FFFFFF"/>
            <w:noWrap/>
            <w:vAlign w:val="center"/>
          </w:tcPr>
          <w:p>
            <w:pPr>
              <w:rPr>
                <w:rFonts w:hint="default" w:ascii="Times New Roman" w:hAnsi="Times New Roman" w:eastAsia="宋体" w:cs="Times New Roman"/>
                <w:color w:val="auto"/>
                <w:kern w:val="0"/>
                <w:sz w:val="24"/>
                <w:szCs w:val="24"/>
              </w:rPr>
            </w:pPr>
            <w:r>
              <w:rPr>
                <w:rFonts w:hint="default" w:ascii="Times New Roman" w:hAnsi="Times New Roman" w:cs="Times New Roman"/>
                <w:color w:val="auto"/>
              </w:rPr>
              <w:t>　住房改革支出</w:t>
            </w:r>
          </w:p>
        </w:tc>
        <w:tc>
          <w:tcPr>
            <w:tcW w:w="166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25</w:t>
            </w:r>
            <w:r>
              <w:rPr>
                <w:rFonts w:hint="default" w:ascii="Times New Roman" w:hAnsi="Times New Roman" w:eastAsia="宋体" w:cs="Times New Roman"/>
                <w:color w:val="auto"/>
                <w:kern w:val="0"/>
                <w:sz w:val="24"/>
                <w:szCs w:val="24"/>
              </w:rPr>
              <w:t>.00</w:t>
            </w:r>
          </w:p>
        </w:tc>
        <w:tc>
          <w:tcPr>
            <w:tcW w:w="125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25</w:t>
            </w:r>
            <w:r>
              <w:rPr>
                <w:rFonts w:hint="default" w:ascii="Times New Roman" w:hAnsi="Times New Roman" w:eastAsia="宋体" w:cs="Times New Roman"/>
                <w:color w:val="auto"/>
                <w:kern w:val="0"/>
                <w:sz w:val="24"/>
                <w:szCs w:val="24"/>
              </w:rPr>
              <w:t>.00</w:t>
            </w:r>
          </w:p>
        </w:tc>
        <w:tc>
          <w:tcPr>
            <w:tcW w:w="1183" w:type="dxa"/>
            <w:tcBorders>
              <w:top w:val="nil"/>
              <w:left w:val="nil"/>
              <w:bottom w:val="single" w:color="auto" w:sz="4" w:space="0"/>
              <w:right w:val="single" w:color="auto" w:sz="4" w:space="0"/>
            </w:tcBorders>
            <w:shd w:val="clear" w:color="auto" w:fill="auto"/>
            <w:noWrap/>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c>
          <w:tcPr>
            <w:tcW w:w="1167" w:type="dxa"/>
            <w:tcBorders>
              <w:top w:val="nil"/>
              <w:left w:val="nil"/>
              <w:bottom w:val="single" w:color="auto" w:sz="4" w:space="0"/>
              <w:right w:val="single" w:color="auto" w:sz="4" w:space="0"/>
            </w:tcBorders>
            <w:shd w:val="clear" w:color="auto" w:fill="auto"/>
            <w:noWrap/>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c>
          <w:tcPr>
            <w:tcW w:w="1300" w:type="dxa"/>
            <w:tcBorders>
              <w:top w:val="nil"/>
              <w:left w:val="nil"/>
              <w:bottom w:val="single" w:color="auto" w:sz="4" w:space="0"/>
              <w:right w:val="single" w:color="auto" w:sz="4" w:space="0"/>
            </w:tcBorders>
            <w:shd w:val="clear" w:color="auto" w:fill="auto"/>
            <w:noWrap/>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c>
          <w:tcPr>
            <w:tcW w:w="1560" w:type="dxa"/>
            <w:tcBorders>
              <w:top w:val="nil"/>
              <w:left w:val="nil"/>
              <w:bottom w:val="single" w:color="auto" w:sz="4" w:space="0"/>
              <w:right w:val="single" w:color="auto" w:sz="4" w:space="0"/>
            </w:tcBorders>
            <w:shd w:val="clear" w:color="auto" w:fill="auto"/>
            <w:noWrap/>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r>
      <w:tr>
        <w:tblPrEx>
          <w:tblCellMar>
            <w:top w:w="0" w:type="dxa"/>
            <w:left w:w="108" w:type="dxa"/>
            <w:bottom w:w="0" w:type="dxa"/>
            <w:right w:w="108" w:type="dxa"/>
          </w:tblCellMar>
        </w:tblPrEx>
        <w:trPr>
          <w:trHeight w:val="450" w:hRule="atLeast"/>
        </w:trPr>
        <w:tc>
          <w:tcPr>
            <w:tcW w:w="1127"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hint="default" w:ascii="Times New Roman" w:hAnsi="Times New Roman" w:eastAsia="宋体" w:cs="Times New Roman"/>
                <w:color w:val="auto"/>
                <w:kern w:val="0"/>
                <w:sz w:val="24"/>
                <w:szCs w:val="24"/>
              </w:rPr>
            </w:pPr>
            <w:r>
              <w:rPr>
                <w:rFonts w:hint="default" w:ascii="Times New Roman" w:hAnsi="Times New Roman" w:cs="Times New Roman"/>
                <w:color w:val="auto"/>
              </w:rPr>
              <w:t>　2210201</w:t>
            </w:r>
          </w:p>
        </w:tc>
        <w:tc>
          <w:tcPr>
            <w:tcW w:w="3929" w:type="dxa"/>
            <w:gridSpan w:val="2"/>
            <w:tcBorders>
              <w:top w:val="nil"/>
              <w:left w:val="nil"/>
              <w:bottom w:val="single" w:color="auto" w:sz="4" w:space="0"/>
              <w:right w:val="single" w:color="auto" w:sz="4" w:space="0"/>
            </w:tcBorders>
            <w:shd w:val="clear" w:color="000000" w:fill="FFFFFF"/>
            <w:noWrap/>
            <w:vAlign w:val="center"/>
          </w:tcPr>
          <w:p>
            <w:pPr>
              <w:rPr>
                <w:rFonts w:hint="default" w:ascii="Times New Roman" w:hAnsi="Times New Roman" w:eastAsia="宋体" w:cs="Times New Roman"/>
                <w:color w:val="auto"/>
                <w:kern w:val="0"/>
                <w:sz w:val="24"/>
                <w:szCs w:val="24"/>
              </w:rPr>
            </w:pPr>
            <w:r>
              <w:rPr>
                <w:rFonts w:hint="default" w:ascii="Times New Roman" w:hAnsi="Times New Roman" w:cs="Times New Roman"/>
                <w:color w:val="auto"/>
              </w:rPr>
              <w:t>　住房公积金</w:t>
            </w:r>
          </w:p>
        </w:tc>
        <w:tc>
          <w:tcPr>
            <w:tcW w:w="166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25</w:t>
            </w:r>
            <w:r>
              <w:rPr>
                <w:rFonts w:hint="default" w:ascii="Times New Roman" w:hAnsi="Times New Roman" w:eastAsia="宋体" w:cs="Times New Roman"/>
                <w:color w:val="auto"/>
                <w:kern w:val="0"/>
                <w:sz w:val="24"/>
                <w:szCs w:val="24"/>
              </w:rPr>
              <w:t>.00</w:t>
            </w:r>
          </w:p>
        </w:tc>
        <w:tc>
          <w:tcPr>
            <w:tcW w:w="125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25</w:t>
            </w:r>
            <w:r>
              <w:rPr>
                <w:rFonts w:hint="default" w:ascii="Times New Roman" w:hAnsi="Times New Roman" w:eastAsia="宋体" w:cs="Times New Roman"/>
                <w:color w:val="auto"/>
                <w:kern w:val="0"/>
                <w:sz w:val="24"/>
                <w:szCs w:val="24"/>
              </w:rPr>
              <w:t>.00</w:t>
            </w:r>
          </w:p>
        </w:tc>
        <w:tc>
          <w:tcPr>
            <w:tcW w:w="1183" w:type="dxa"/>
            <w:tcBorders>
              <w:top w:val="nil"/>
              <w:left w:val="nil"/>
              <w:bottom w:val="single" w:color="auto" w:sz="4" w:space="0"/>
              <w:right w:val="single" w:color="auto" w:sz="4" w:space="0"/>
            </w:tcBorders>
            <w:shd w:val="clear" w:color="auto" w:fill="auto"/>
            <w:noWrap/>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c>
          <w:tcPr>
            <w:tcW w:w="1167" w:type="dxa"/>
            <w:tcBorders>
              <w:top w:val="nil"/>
              <w:left w:val="nil"/>
              <w:bottom w:val="single" w:color="auto" w:sz="4" w:space="0"/>
              <w:right w:val="single" w:color="auto" w:sz="4" w:space="0"/>
            </w:tcBorders>
            <w:shd w:val="clear" w:color="auto" w:fill="auto"/>
            <w:noWrap/>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c>
          <w:tcPr>
            <w:tcW w:w="1300" w:type="dxa"/>
            <w:tcBorders>
              <w:top w:val="nil"/>
              <w:left w:val="nil"/>
              <w:bottom w:val="single" w:color="auto" w:sz="4" w:space="0"/>
              <w:right w:val="single" w:color="auto" w:sz="4" w:space="0"/>
            </w:tcBorders>
            <w:shd w:val="clear" w:color="auto" w:fill="auto"/>
            <w:noWrap/>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c>
          <w:tcPr>
            <w:tcW w:w="1560" w:type="dxa"/>
            <w:tcBorders>
              <w:top w:val="nil"/>
              <w:left w:val="nil"/>
              <w:bottom w:val="single" w:color="auto" w:sz="4" w:space="0"/>
              <w:right w:val="single" w:color="auto" w:sz="4" w:space="0"/>
            </w:tcBorders>
            <w:shd w:val="clear" w:color="auto" w:fill="auto"/>
            <w:noWrap/>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r>
      <w:tr>
        <w:tblPrEx>
          <w:tblCellMar>
            <w:top w:w="0" w:type="dxa"/>
            <w:left w:w="108" w:type="dxa"/>
            <w:bottom w:w="0" w:type="dxa"/>
            <w:right w:w="108" w:type="dxa"/>
          </w:tblCellMar>
        </w:tblPrEx>
        <w:trPr>
          <w:trHeight w:val="630" w:hRule="atLeast"/>
        </w:trPr>
        <w:tc>
          <w:tcPr>
            <w:tcW w:w="13183" w:type="dxa"/>
            <w:gridSpan w:val="10"/>
            <w:tcBorders>
              <w:top w:val="nil"/>
              <w:left w:val="nil"/>
              <w:bottom w:val="nil"/>
              <w:right w:val="nil"/>
            </w:tcBorders>
            <w:shd w:val="clear" w:color="auto" w:fill="auto"/>
            <w:vAlign w:val="center"/>
          </w:tcPr>
          <w:p>
            <w:pPr>
              <w:widowControl/>
              <w:jc w:val="lef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注：本表反映部门本年度各项支出情况。</w:t>
            </w:r>
          </w:p>
        </w:tc>
      </w:tr>
    </w:tbl>
    <w:p>
      <w:pPr>
        <w:widowControl/>
        <w:rPr>
          <w:rFonts w:hint="default" w:ascii="Times New Roman" w:hAnsi="Times New Roman" w:eastAsia="方正小标宋_GBK" w:cs="Times New Roman"/>
          <w:color w:val="auto"/>
          <w:kern w:val="0"/>
          <w:sz w:val="36"/>
          <w:szCs w:val="21"/>
        </w:rPr>
      </w:pPr>
    </w:p>
    <w:tbl>
      <w:tblPr>
        <w:tblStyle w:val="7"/>
        <w:tblW w:w="15521" w:type="dxa"/>
        <w:tblInd w:w="93" w:type="dxa"/>
        <w:tblLayout w:type="fixed"/>
        <w:tblCellMar>
          <w:top w:w="0" w:type="dxa"/>
          <w:left w:w="108" w:type="dxa"/>
          <w:bottom w:w="0" w:type="dxa"/>
          <w:right w:w="108" w:type="dxa"/>
        </w:tblCellMar>
      </w:tblPr>
      <w:tblGrid>
        <w:gridCol w:w="4289"/>
        <w:gridCol w:w="717"/>
        <w:gridCol w:w="900"/>
        <w:gridCol w:w="3246"/>
        <w:gridCol w:w="121"/>
        <w:gridCol w:w="816"/>
        <w:gridCol w:w="1071"/>
        <w:gridCol w:w="1394"/>
        <w:gridCol w:w="1394"/>
        <w:gridCol w:w="1573"/>
      </w:tblGrid>
      <w:tr>
        <w:tblPrEx>
          <w:tblCellMar>
            <w:top w:w="0" w:type="dxa"/>
            <w:left w:w="108" w:type="dxa"/>
            <w:bottom w:w="0" w:type="dxa"/>
            <w:right w:w="108" w:type="dxa"/>
          </w:tblCellMar>
        </w:tblPrEx>
        <w:trPr>
          <w:trHeight w:val="360" w:hRule="atLeast"/>
        </w:trPr>
        <w:tc>
          <w:tcPr>
            <w:tcW w:w="15521" w:type="dxa"/>
            <w:gridSpan w:val="10"/>
            <w:tcBorders>
              <w:top w:val="nil"/>
              <w:left w:val="nil"/>
              <w:bottom w:val="nil"/>
              <w:right w:val="nil"/>
            </w:tcBorders>
            <w:shd w:val="clear" w:color="auto" w:fill="auto"/>
            <w:noWrap/>
            <w:vAlign w:val="center"/>
          </w:tcPr>
          <w:p>
            <w:pPr>
              <w:widowControl/>
              <w:jc w:val="center"/>
              <w:rPr>
                <w:rFonts w:hint="default" w:ascii="Times New Roman" w:hAnsi="Times New Roman" w:eastAsia="华文中宋" w:cs="Times New Roman"/>
                <w:color w:val="auto"/>
                <w:kern w:val="0"/>
                <w:sz w:val="32"/>
                <w:szCs w:val="32"/>
              </w:rPr>
            </w:pPr>
            <w:bookmarkStart w:id="0" w:name="RANGE!A1:I22"/>
            <w:bookmarkEnd w:id="0"/>
            <w:bookmarkStart w:id="1" w:name="RANGE!A1:F16"/>
            <w:r>
              <w:rPr>
                <w:rFonts w:hint="default" w:ascii="Times New Roman" w:hAnsi="Times New Roman" w:eastAsia="华文中宋" w:cs="Times New Roman"/>
                <w:color w:val="auto"/>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4289" w:type="dxa"/>
            <w:tcBorders>
              <w:top w:val="nil"/>
              <w:left w:val="nil"/>
              <w:bottom w:val="nil"/>
              <w:right w:val="nil"/>
            </w:tcBorders>
            <w:shd w:val="clear" w:color="000000" w:fill="FFFFFF"/>
            <w:noWrap/>
            <w:vAlign w:val="center"/>
          </w:tcPr>
          <w:p>
            <w:pPr>
              <w:widowControl/>
              <w:jc w:val="righ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c>
          <w:tcPr>
            <w:tcW w:w="717" w:type="dxa"/>
            <w:tcBorders>
              <w:top w:val="nil"/>
              <w:left w:val="nil"/>
              <w:bottom w:val="nil"/>
              <w:right w:val="nil"/>
            </w:tcBorders>
            <w:shd w:val="clear" w:color="000000" w:fill="FFFFFF"/>
            <w:noWrap/>
            <w:vAlign w:val="center"/>
          </w:tcPr>
          <w:p>
            <w:pPr>
              <w:widowControl/>
              <w:jc w:val="righ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c>
          <w:tcPr>
            <w:tcW w:w="900" w:type="dxa"/>
            <w:tcBorders>
              <w:top w:val="nil"/>
              <w:left w:val="nil"/>
              <w:bottom w:val="nil"/>
              <w:right w:val="nil"/>
            </w:tcBorders>
            <w:shd w:val="clear" w:color="000000" w:fill="FFFFFF"/>
            <w:noWrap/>
            <w:vAlign w:val="center"/>
          </w:tcPr>
          <w:p>
            <w:pPr>
              <w:widowControl/>
              <w:jc w:val="righ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c>
          <w:tcPr>
            <w:tcW w:w="3246" w:type="dxa"/>
            <w:tcBorders>
              <w:top w:val="nil"/>
              <w:left w:val="nil"/>
              <w:bottom w:val="nil"/>
              <w:right w:val="nil"/>
            </w:tcBorders>
            <w:shd w:val="clear" w:color="000000" w:fill="FFFFFF"/>
            <w:noWrap/>
            <w:vAlign w:val="center"/>
          </w:tcPr>
          <w:p>
            <w:pPr>
              <w:widowControl/>
              <w:jc w:val="righ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c>
          <w:tcPr>
            <w:tcW w:w="937" w:type="dxa"/>
            <w:gridSpan w:val="2"/>
            <w:tcBorders>
              <w:top w:val="nil"/>
              <w:left w:val="nil"/>
              <w:bottom w:val="nil"/>
              <w:right w:val="nil"/>
            </w:tcBorders>
            <w:shd w:val="clear" w:color="000000" w:fill="FFFFFF"/>
            <w:noWrap/>
            <w:vAlign w:val="center"/>
          </w:tcPr>
          <w:p>
            <w:pPr>
              <w:widowControl/>
              <w:jc w:val="righ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c>
          <w:tcPr>
            <w:tcW w:w="1071" w:type="dxa"/>
            <w:tcBorders>
              <w:top w:val="nil"/>
              <w:left w:val="nil"/>
              <w:bottom w:val="nil"/>
              <w:right w:val="nil"/>
            </w:tcBorders>
            <w:shd w:val="clear" w:color="000000" w:fill="FFFFFF"/>
            <w:noWrap/>
            <w:vAlign w:val="center"/>
          </w:tcPr>
          <w:p>
            <w:pPr>
              <w:widowControl/>
              <w:jc w:val="righ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公开04表</w:t>
            </w:r>
          </w:p>
        </w:tc>
      </w:tr>
      <w:tr>
        <w:tblPrEx>
          <w:tblCellMar>
            <w:top w:w="0" w:type="dxa"/>
            <w:left w:w="108" w:type="dxa"/>
            <w:bottom w:w="0" w:type="dxa"/>
            <w:right w:w="108" w:type="dxa"/>
          </w:tblCellMar>
        </w:tblPrEx>
        <w:trPr>
          <w:trHeight w:val="300" w:hRule="atLeast"/>
        </w:trPr>
        <w:tc>
          <w:tcPr>
            <w:tcW w:w="4289" w:type="dxa"/>
            <w:tcBorders>
              <w:top w:val="nil"/>
              <w:left w:val="nil"/>
              <w:bottom w:val="nil"/>
              <w:right w:val="nil"/>
            </w:tcBorders>
            <w:shd w:val="clear" w:color="000000" w:fill="FFFFFF"/>
            <w:noWrap/>
            <w:vAlign w:val="center"/>
          </w:tcPr>
          <w:p>
            <w:pPr>
              <w:widowControl/>
              <w:jc w:val="left"/>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部门：湖南省新闻出版广电局岳阳中波转播台</w:t>
            </w:r>
          </w:p>
        </w:tc>
        <w:tc>
          <w:tcPr>
            <w:tcW w:w="717" w:type="dxa"/>
            <w:tcBorders>
              <w:top w:val="nil"/>
              <w:left w:val="nil"/>
              <w:bottom w:val="nil"/>
              <w:right w:val="nil"/>
            </w:tcBorders>
            <w:shd w:val="clear" w:color="000000" w:fill="FFFFFF"/>
            <w:noWrap/>
            <w:vAlign w:val="center"/>
          </w:tcPr>
          <w:p>
            <w:pPr>
              <w:widowControl/>
              <w:jc w:val="righ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c>
          <w:tcPr>
            <w:tcW w:w="900" w:type="dxa"/>
            <w:tcBorders>
              <w:top w:val="nil"/>
              <w:left w:val="nil"/>
              <w:bottom w:val="nil"/>
              <w:right w:val="nil"/>
            </w:tcBorders>
            <w:shd w:val="clear" w:color="000000" w:fill="FFFFFF"/>
            <w:noWrap/>
            <w:vAlign w:val="center"/>
          </w:tcPr>
          <w:p>
            <w:pPr>
              <w:widowControl/>
              <w:jc w:val="righ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c>
          <w:tcPr>
            <w:tcW w:w="3246" w:type="dxa"/>
            <w:tcBorders>
              <w:top w:val="nil"/>
              <w:left w:val="nil"/>
              <w:bottom w:val="nil"/>
              <w:right w:val="nil"/>
            </w:tcBorders>
            <w:shd w:val="clear" w:color="000000" w:fill="FFFFFF"/>
            <w:noWrap/>
            <w:vAlign w:val="center"/>
          </w:tcPr>
          <w:p>
            <w:pPr>
              <w:widowControl/>
              <w:jc w:val="righ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c>
          <w:tcPr>
            <w:tcW w:w="937" w:type="dxa"/>
            <w:gridSpan w:val="2"/>
            <w:tcBorders>
              <w:top w:val="nil"/>
              <w:left w:val="nil"/>
              <w:bottom w:val="nil"/>
              <w:right w:val="nil"/>
            </w:tcBorders>
            <w:shd w:val="clear" w:color="000000" w:fill="FFFFFF"/>
            <w:noWrap/>
            <w:vAlign w:val="center"/>
          </w:tcPr>
          <w:p>
            <w:pPr>
              <w:widowControl/>
              <w:jc w:val="righ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c>
          <w:tcPr>
            <w:tcW w:w="1071" w:type="dxa"/>
            <w:tcBorders>
              <w:top w:val="nil"/>
              <w:left w:val="nil"/>
              <w:bottom w:val="nil"/>
              <w:right w:val="nil"/>
            </w:tcBorders>
            <w:shd w:val="clear" w:color="000000" w:fill="FFFFFF"/>
            <w:noWrap/>
            <w:vAlign w:val="center"/>
          </w:tcPr>
          <w:p>
            <w:pPr>
              <w:widowControl/>
              <w:jc w:val="righ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单位：万元</w:t>
            </w:r>
          </w:p>
        </w:tc>
      </w:tr>
      <w:tr>
        <w:tblPrEx>
          <w:tblCellMar>
            <w:top w:w="0" w:type="dxa"/>
            <w:left w:w="108" w:type="dxa"/>
            <w:bottom w:w="0" w:type="dxa"/>
            <w:right w:w="108" w:type="dxa"/>
          </w:tblCellMar>
        </w:tblPrEx>
        <w:trPr>
          <w:trHeight w:val="402" w:hRule="atLeast"/>
        </w:trPr>
        <w:tc>
          <w:tcPr>
            <w:tcW w:w="5906"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收入</w:t>
            </w:r>
          </w:p>
        </w:tc>
        <w:tc>
          <w:tcPr>
            <w:tcW w:w="9615"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支出</w:t>
            </w:r>
          </w:p>
        </w:tc>
      </w:tr>
      <w:tr>
        <w:tblPrEx>
          <w:tblCellMar>
            <w:top w:w="0" w:type="dxa"/>
            <w:left w:w="108" w:type="dxa"/>
            <w:bottom w:w="0" w:type="dxa"/>
            <w:right w:w="108" w:type="dxa"/>
          </w:tblCellMar>
        </w:tblPrEx>
        <w:trPr>
          <w:trHeight w:val="630" w:hRule="atLeast"/>
        </w:trPr>
        <w:tc>
          <w:tcPr>
            <w:tcW w:w="428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项    目</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行次</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金额</w:t>
            </w:r>
          </w:p>
        </w:tc>
        <w:tc>
          <w:tcPr>
            <w:tcW w:w="33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项    目</w:t>
            </w:r>
          </w:p>
        </w:tc>
        <w:tc>
          <w:tcPr>
            <w:tcW w:w="81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行次</w:t>
            </w:r>
          </w:p>
        </w:tc>
        <w:tc>
          <w:tcPr>
            <w:tcW w:w="107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合计</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政府性基金预算财政拨款</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428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栏    次</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1</w:t>
            </w:r>
          </w:p>
        </w:tc>
        <w:tc>
          <w:tcPr>
            <w:tcW w:w="33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栏    次</w:t>
            </w:r>
          </w:p>
        </w:tc>
        <w:tc>
          <w:tcPr>
            <w:tcW w:w="81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c>
          <w:tcPr>
            <w:tcW w:w="107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2</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3</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4</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5</w:t>
            </w:r>
          </w:p>
        </w:tc>
      </w:tr>
      <w:tr>
        <w:tblPrEx>
          <w:tblCellMar>
            <w:top w:w="0" w:type="dxa"/>
            <w:left w:w="108" w:type="dxa"/>
            <w:bottom w:w="0" w:type="dxa"/>
            <w:right w:w="108" w:type="dxa"/>
          </w:tblCellMar>
        </w:tblPrEx>
        <w:trPr>
          <w:trHeight w:val="402" w:hRule="atLeast"/>
        </w:trPr>
        <w:tc>
          <w:tcPr>
            <w:tcW w:w="428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一、一般公共预算财政拨款</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1</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425.11</w:t>
            </w:r>
          </w:p>
        </w:tc>
        <w:tc>
          <w:tcPr>
            <w:tcW w:w="3367"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一、一般公共服务支出</w:t>
            </w:r>
          </w:p>
        </w:tc>
        <w:tc>
          <w:tcPr>
            <w:tcW w:w="81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15</w:t>
            </w:r>
          </w:p>
        </w:tc>
        <w:tc>
          <w:tcPr>
            <w:tcW w:w="1071" w:type="dxa"/>
            <w:tcBorders>
              <w:top w:val="nil"/>
              <w:left w:val="nil"/>
              <w:bottom w:val="single" w:color="auto" w:sz="4" w:space="0"/>
              <w:right w:val="single" w:color="auto" w:sz="4" w:space="0"/>
            </w:tcBorders>
            <w:shd w:val="clear" w:color="auto" w:fill="auto"/>
            <w:noWrap/>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c>
          <w:tcPr>
            <w:tcW w:w="1394" w:type="dxa"/>
            <w:tcBorders>
              <w:top w:val="nil"/>
              <w:left w:val="nil"/>
              <w:bottom w:val="single" w:color="auto" w:sz="4" w:space="0"/>
              <w:right w:val="single" w:color="auto" w:sz="4" w:space="0"/>
            </w:tcBorders>
            <w:shd w:val="clear" w:color="auto" w:fill="auto"/>
            <w:noWrap/>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c>
          <w:tcPr>
            <w:tcW w:w="1394" w:type="dxa"/>
            <w:tcBorders>
              <w:top w:val="nil"/>
              <w:left w:val="nil"/>
              <w:bottom w:val="single" w:color="auto" w:sz="4" w:space="0"/>
              <w:right w:val="single" w:color="auto" w:sz="4" w:space="0"/>
            </w:tcBorders>
            <w:shd w:val="clear" w:color="auto" w:fill="auto"/>
            <w:noWrap/>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c>
          <w:tcPr>
            <w:tcW w:w="1573" w:type="dxa"/>
            <w:tcBorders>
              <w:top w:val="nil"/>
              <w:left w:val="nil"/>
              <w:bottom w:val="single" w:color="auto" w:sz="4" w:space="0"/>
              <w:right w:val="single" w:color="auto" w:sz="4" w:space="0"/>
            </w:tcBorders>
            <w:shd w:val="clear" w:color="auto" w:fill="auto"/>
            <w:noWrap/>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r>
      <w:tr>
        <w:tblPrEx>
          <w:tblCellMar>
            <w:top w:w="0" w:type="dxa"/>
            <w:left w:w="108" w:type="dxa"/>
            <w:bottom w:w="0" w:type="dxa"/>
            <w:right w:w="108" w:type="dxa"/>
          </w:tblCellMar>
        </w:tblPrEx>
        <w:trPr>
          <w:trHeight w:val="402" w:hRule="atLeast"/>
        </w:trPr>
        <w:tc>
          <w:tcPr>
            <w:tcW w:w="428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二、政府性基金预算财政拨款</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2</w:t>
            </w:r>
          </w:p>
        </w:tc>
        <w:tc>
          <w:tcPr>
            <w:tcW w:w="900" w:type="dxa"/>
            <w:tcBorders>
              <w:top w:val="nil"/>
              <w:left w:val="nil"/>
              <w:bottom w:val="single" w:color="auto" w:sz="4" w:space="0"/>
              <w:right w:val="single" w:color="auto" w:sz="4" w:space="0"/>
            </w:tcBorders>
            <w:shd w:val="clear" w:color="auto" w:fill="auto"/>
            <w:noWrap/>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c>
          <w:tcPr>
            <w:tcW w:w="3367"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二、外交支出</w:t>
            </w:r>
          </w:p>
        </w:tc>
        <w:tc>
          <w:tcPr>
            <w:tcW w:w="81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16</w:t>
            </w:r>
          </w:p>
        </w:tc>
        <w:tc>
          <w:tcPr>
            <w:tcW w:w="1071" w:type="dxa"/>
            <w:tcBorders>
              <w:top w:val="nil"/>
              <w:left w:val="nil"/>
              <w:bottom w:val="single" w:color="auto" w:sz="4" w:space="0"/>
              <w:right w:val="single" w:color="auto" w:sz="4" w:space="0"/>
            </w:tcBorders>
            <w:shd w:val="clear" w:color="auto" w:fill="auto"/>
            <w:noWrap/>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c>
          <w:tcPr>
            <w:tcW w:w="1394" w:type="dxa"/>
            <w:tcBorders>
              <w:top w:val="nil"/>
              <w:left w:val="nil"/>
              <w:bottom w:val="single" w:color="auto" w:sz="4" w:space="0"/>
              <w:right w:val="single" w:color="auto" w:sz="4" w:space="0"/>
            </w:tcBorders>
            <w:shd w:val="clear" w:color="auto" w:fill="auto"/>
            <w:noWrap/>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c>
          <w:tcPr>
            <w:tcW w:w="1394" w:type="dxa"/>
            <w:tcBorders>
              <w:top w:val="nil"/>
              <w:left w:val="nil"/>
              <w:bottom w:val="single" w:color="auto" w:sz="4" w:space="0"/>
              <w:right w:val="single" w:color="auto" w:sz="4" w:space="0"/>
            </w:tcBorders>
            <w:shd w:val="clear" w:color="auto" w:fill="auto"/>
            <w:noWrap/>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c>
          <w:tcPr>
            <w:tcW w:w="1573" w:type="dxa"/>
            <w:tcBorders>
              <w:top w:val="nil"/>
              <w:left w:val="nil"/>
              <w:bottom w:val="single" w:color="auto" w:sz="4" w:space="0"/>
              <w:right w:val="single" w:color="auto" w:sz="4" w:space="0"/>
            </w:tcBorders>
            <w:shd w:val="clear" w:color="auto" w:fill="auto"/>
            <w:noWrap/>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r>
      <w:tr>
        <w:tblPrEx>
          <w:tblCellMar>
            <w:top w:w="0" w:type="dxa"/>
            <w:left w:w="108" w:type="dxa"/>
            <w:bottom w:w="0" w:type="dxa"/>
            <w:right w:w="108" w:type="dxa"/>
          </w:tblCellMar>
        </w:tblPrEx>
        <w:trPr>
          <w:trHeight w:val="402" w:hRule="atLeast"/>
        </w:trPr>
        <w:tc>
          <w:tcPr>
            <w:tcW w:w="428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三、国有资本经营预算财政拨款</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3</w:t>
            </w:r>
          </w:p>
        </w:tc>
        <w:tc>
          <w:tcPr>
            <w:tcW w:w="900" w:type="dxa"/>
            <w:tcBorders>
              <w:top w:val="nil"/>
              <w:left w:val="nil"/>
              <w:bottom w:val="single" w:color="auto" w:sz="4" w:space="0"/>
              <w:right w:val="single" w:color="auto" w:sz="4" w:space="0"/>
            </w:tcBorders>
            <w:shd w:val="clear" w:color="auto" w:fill="auto"/>
            <w:noWrap/>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c>
          <w:tcPr>
            <w:tcW w:w="3367"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三、国防支出</w:t>
            </w:r>
          </w:p>
        </w:tc>
        <w:tc>
          <w:tcPr>
            <w:tcW w:w="81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17</w:t>
            </w:r>
          </w:p>
        </w:tc>
        <w:tc>
          <w:tcPr>
            <w:tcW w:w="1071" w:type="dxa"/>
            <w:tcBorders>
              <w:top w:val="nil"/>
              <w:left w:val="nil"/>
              <w:bottom w:val="single" w:color="auto" w:sz="4" w:space="0"/>
              <w:right w:val="single" w:color="auto" w:sz="4" w:space="0"/>
            </w:tcBorders>
            <w:shd w:val="clear" w:color="auto" w:fill="auto"/>
            <w:noWrap/>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c>
          <w:tcPr>
            <w:tcW w:w="1394" w:type="dxa"/>
            <w:tcBorders>
              <w:top w:val="nil"/>
              <w:left w:val="nil"/>
              <w:bottom w:val="single" w:color="auto" w:sz="4" w:space="0"/>
              <w:right w:val="single" w:color="auto" w:sz="4" w:space="0"/>
            </w:tcBorders>
            <w:shd w:val="clear" w:color="auto" w:fill="auto"/>
            <w:noWrap/>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c>
          <w:tcPr>
            <w:tcW w:w="1394" w:type="dxa"/>
            <w:tcBorders>
              <w:top w:val="nil"/>
              <w:left w:val="nil"/>
              <w:bottom w:val="single" w:color="auto" w:sz="4" w:space="0"/>
              <w:right w:val="single" w:color="auto" w:sz="4" w:space="0"/>
            </w:tcBorders>
            <w:shd w:val="clear" w:color="auto" w:fill="auto"/>
            <w:noWrap/>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c>
          <w:tcPr>
            <w:tcW w:w="1573" w:type="dxa"/>
            <w:tcBorders>
              <w:top w:val="nil"/>
              <w:left w:val="nil"/>
              <w:bottom w:val="single" w:color="auto" w:sz="4" w:space="0"/>
              <w:right w:val="single" w:color="auto" w:sz="4" w:space="0"/>
            </w:tcBorders>
            <w:shd w:val="clear" w:color="auto" w:fill="auto"/>
            <w:noWrap/>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r>
      <w:tr>
        <w:tblPrEx>
          <w:tblCellMar>
            <w:top w:w="0" w:type="dxa"/>
            <w:left w:w="108" w:type="dxa"/>
            <w:bottom w:w="0" w:type="dxa"/>
            <w:right w:w="108" w:type="dxa"/>
          </w:tblCellMar>
        </w:tblPrEx>
        <w:trPr>
          <w:trHeight w:val="402" w:hRule="atLeast"/>
        </w:trPr>
        <w:tc>
          <w:tcPr>
            <w:tcW w:w="428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　</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4</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 w:val="22"/>
              </w:rPr>
            </w:pPr>
          </w:p>
        </w:tc>
        <w:tc>
          <w:tcPr>
            <w:tcW w:w="3367"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四、公共安全支出</w:t>
            </w:r>
          </w:p>
        </w:tc>
        <w:tc>
          <w:tcPr>
            <w:tcW w:w="81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18</w:t>
            </w:r>
          </w:p>
        </w:tc>
        <w:tc>
          <w:tcPr>
            <w:tcW w:w="1071" w:type="dxa"/>
            <w:tcBorders>
              <w:top w:val="nil"/>
              <w:left w:val="nil"/>
              <w:bottom w:val="single" w:color="auto" w:sz="4" w:space="0"/>
              <w:right w:val="single" w:color="auto" w:sz="4" w:space="0"/>
            </w:tcBorders>
            <w:shd w:val="clear" w:color="auto" w:fill="auto"/>
            <w:noWrap/>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c>
          <w:tcPr>
            <w:tcW w:w="1394" w:type="dxa"/>
            <w:tcBorders>
              <w:top w:val="nil"/>
              <w:left w:val="nil"/>
              <w:bottom w:val="single" w:color="auto" w:sz="4" w:space="0"/>
              <w:right w:val="single" w:color="auto" w:sz="4" w:space="0"/>
            </w:tcBorders>
            <w:shd w:val="clear" w:color="auto" w:fill="auto"/>
            <w:noWrap/>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c>
          <w:tcPr>
            <w:tcW w:w="1394" w:type="dxa"/>
            <w:tcBorders>
              <w:top w:val="nil"/>
              <w:left w:val="nil"/>
              <w:bottom w:val="single" w:color="auto" w:sz="4" w:space="0"/>
              <w:right w:val="single" w:color="auto" w:sz="4" w:space="0"/>
            </w:tcBorders>
            <w:shd w:val="clear" w:color="auto" w:fill="auto"/>
            <w:noWrap/>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c>
          <w:tcPr>
            <w:tcW w:w="1573" w:type="dxa"/>
            <w:tcBorders>
              <w:top w:val="nil"/>
              <w:left w:val="nil"/>
              <w:bottom w:val="single" w:color="auto" w:sz="4" w:space="0"/>
              <w:right w:val="single" w:color="auto" w:sz="4" w:space="0"/>
            </w:tcBorders>
            <w:shd w:val="clear" w:color="auto" w:fill="auto"/>
            <w:noWrap/>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r>
      <w:tr>
        <w:tblPrEx>
          <w:tblCellMar>
            <w:top w:w="0" w:type="dxa"/>
            <w:left w:w="108" w:type="dxa"/>
            <w:bottom w:w="0" w:type="dxa"/>
            <w:right w:w="108" w:type="dxa"/>
          </w:tblCellMar>
        </w:tblPrEx>
        <w:trPr>
          <w:trHeight w:val="402" w:hRule="atLeast"/>
        </w:trPr>
        <w:tc>
          <w:tcPr>
            <w:tcW w:w="428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　</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5</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 w:val="22"/>
              </w:rPr>
            </w:pPr>
          </w:p>
        </w:tc>
        <w:tc>
          <w:tcPr>
            <w:tcW w:w="3367"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五、教育支出</w:t>
            </w:r>
          </w:p>
        </w:tc>
        <w:tc>
          <w:tcPr>
            <w:tcW w:w="81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19</w:t>
            </w:r>
          </w:p>
        </w:tc>
        <w:tc>
          <w:tcPr>
            <w:tcW w:w="1071" w:type="dxa"/>
            <w:tcBorders>
              <w:top w:val="nil"/>
              <w:left w:val="nil"/>
              <w:bottom w:val="single" w:color="auto" w:sz="4" w:space="0"/>
              <w:right w:val="single" w:color="auto" w:sz="4" w:space="0"/>
            </w:tcBorders>
            <w:shd w:val="clear" w:color="auto" w:fill="auto"/>
            <w:noWrap/>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c>
          <w:tcPr>
            <w:tcW w:w="1394" w:type="dxa"/>
            <w:tcBorders>
              <w:top w:val="nil"/>
              <w:left w:val="nil"/>
              <w:bottom w:val="single" w:color="auto" w:sz="4" w:space="0"/>
              <w:right w:val="single" w:color="auto" w:sz="4" w:space="0"/>
            </w:tcBorders>
            <w:shd w:val="clear" w:color="auto" w:fill="auto"/>
            <w:noWrap/>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c>
          <w:tcPr>
            <w:tcW w:w="1394" w:type="dxa"/>
            <w:tcBorders>
              <w:top w:val="nil"/>
              <w:left w:val="nil"/>
              <w:bottom w:val="single" w:color="auto" w:sz="4" w:space="0"/>
              <w:right w:val="single" w:color="auto" w:sz="4" w:space="0"/>
            </w:tcBorders>
            <w:shd w:val="clear" w:color="auto" w:fill="auto"/>
            <w:noWrap/>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c>
          <w:tcPr>
            <w:tcW w:w="1573" w:type="dxa"/>
            <w:tcBorders>
              <w:top w:val="nil"/>
              <w:left w:val="nil"/>
              <w:bottom w:val="single" w:color="auto" w:sz="4" w:space="0"/>
              <w:right w:val="single" w:color="auto" w:sz="4" w:space="0"/>
            </w:tcBorders>
            <w:shd w:val="clear" w:color="auto" w:fill="auto"/>
            <w:noWrap/>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r>
      <w:tr>
        <w:tblPrEx>
          <w:tblCellMar>
            <w:top w:w="0" w:type="dxa"/>
            <w:left w:w="108" w:type="dxa"/>
            <w:bottom w:w="0" w:type="dxa"/>
            <w:right w:w="108" w:type="dxa"/>
          </w:tblCellMar>
        </w:tblPrEx>
        <w:trPr>
          <w:trHeight w:val="402" w:hRule="atLeast"/>
        </w:trPr>
        <w:tc>
          <w:tcPr>
            <w:tcW w:w="428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　</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6</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 w:val="22"/>
              </w:rPr>
            </w:pPr>
          </w:p>
        </w:tc>
        <w:tc>
          <w:tcPr>
            <w:tcW w:w="3367"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六、文化旅游体育与传媒支出</w:t>
            </w:r>
          </w:p>
        </w:tc>
        <w:tc>
          <w:tcPr>
            <w:tcW w:w="81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20</w:t>
            </w:r>
          </w:p>
        </w:tc>
        <w:tc>
          <w:tcPr>
            <w:tcW w:w="107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344.27</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344.27</w:t>
            </w:r>
          </w:p>
        </w:tc>
        <w:tc>
          <w:tcPr>
            <w:tcW w:w="1394" w:type="dxa"/>
            <w:tcBorders>
              <w:top w:val="nil"/>
              <w:left w:val="nil"/>
              <w:bottom w:val="single" w:color="auto" w:sz="4" w:space="0"/>
              <w:right w:val="single" w:color="auto" w:sz="4" w:space="0"/>
            </w:tcBorders>
            <w:shd w:val="clear" w:color="auto" w:fill="auto"/>
            <w:noWrap/>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c>
          <w:tcPr>
            <w:tcW w:w="1573" w:type="dxa"/>
            <w:tcBorders>
              <w:top w:val="nil"/>
              <w:left w:val="nil"/>
              <w:bottom w:val="single" w:color="auto" w:sz="4" w:space="0"/>
              <w:right w:val="single" w:color="auto" w:sz="4" w:space="0"/>
            </w:tcBorders>
            <w:shd w:val="clear" w:color="auto" w:fill="auto"/>
            <w:noWrap/>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r>
      <w:tr>
        <w:tblPrEx>
          <w:tblCellMar>
            <w:top w:w="0" w:type="dxa"/>
            <w:left w:w="108" w:type="dxa"/>
            <w:bottom w:w="0" w:type="dxa"/>
            <w:right w:w="108" w:type="dxa"/>
          </w:tblCellMar>
        </w:tblPrEx>
        <w:trPr>
          <w:trHeight w:val="402" w:hRule="atLeast"/>
        </w:trPr>
        <w:tc>
          <w:tcPr>
            <w:tcW w:w="428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　</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7</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 w:val="22"/>
              </w:rPr>
            </w:pPr>
          </w:p>
        </w:tc>
        <w:tc>
          <w:tcPr>
            <w:tcW w:w="3367"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2"/>
              </w:rPr>
              <w:t>七、社会保障和就业支出</w:t>
            </w:r>
          </w:p>
        </w:tc>
        <w:tc>
          <w:tcPr>
            <w:tcW w:w="81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21</w:t>
            </w:r>
          </w:p>
        </w:tc>
        <w:tc>
          <w:tcPr>
            <w:tcW w:w="107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46.5</w:t>
            </w:r>
            <w:r>
              <w:rPr>
                <w:rFonts w:hint="default" w:ascii="Times New Roman" w:hAnsi="Times New Roman" w:eastAsia="宋体" w:cs="Times New Roman"/>
                <w:color w:val="auto"/>
                <w:kern w:val="0"/>
                <w:sz w:val="22"/>
              </w:rPr>
              <w:t>0</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46.5</w:t>
            </w:r>
            <w:r>
              <w:rPr>
                <w:rFonts w:hint="default" w:ascii="Times New Roman" w:hAnsi="Times New Roman" w:eastAsia="宋体" w:cs="Times New Roman"/>
                <w:color w:val="auto"/>
                <w:kern w:val="0"/>
                <w:sz w:val="22"/>
              </w:rPr>
              <w:t>0</w:t>
            </w:r>
          </w:p>
        </w:tc>
        <w:tc>
          <w:tcPr>
            <w:tcW w:w="1394" w:type="dxa"/>
            <w:tcBorders>
              <w:top w:val="nil"/>
              <w:left w:val="nil"/>
              <w:bottom w:val="single" w:color="auto" w:sz="4" w:space="0"/>
              <w:right w:val="single" w:color="auto" w:sz="4" w:space="0"/>
            </w:tcBorders>
            <w:shd w:val="clear" w:color="auto" w:fill="auto"/>
            <w:noWrap/>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c>
          <w:tcPr>
            <w:tcW w:w="1573" w:type="dxa"/>
            <w:tcBorders>
              <w:top w:val="nil"/>
              <w:left w:val="nil"/>
              <w:bottom w:val="single" w:color="auto" w:sz="4" w:space="0"/>
              <w:right w:val="single" w:color="auto" w:sz="4" w:space="0"/>
            </w:tcBorders>
            <w:shd w:val="clear" w:color="auto" w:fill="auto"/>
            <w:noWrap/>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r>
      <w:tr>
        <w:tblPrEx>
          <w:tblCellMar>
            <w:top w:w="0" w:type="dxa"/>
            <w:left w:w="108" w:type="dxa"/>
            <w:bottom w:w="0" w:type="dxa"/>
            <w:right w:w="108" w:type="dxa"/>
          </w:tblCellMar>
        </w:tblPrEx>
        <w:trPr>
          <w:trHeight w:val="402" w:hRule="atLeast"/>
        </w:trPr>
        <w:tc>
          <w:tcPr>
            <w:tcW w:w="428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　</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8</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 w:val="22"/>
              </w:rPr>
            </w:pPr>
          </w:p>
        </w:tc>
        <w:tc>
          <w:tcPr>
            <w:tcW w:w="3367" w:type="dxa"/>
            <w:gridSpan w:val="2"/>
            <w:tcBorders>
              <w:top w:val="nil"/>
              <w:left w:val="nil"/>
              <w:bottom w:val="single" w:color="auto" w:sz="4" w:space="0"/>
              <w:right w:val="single" w:color="auto" w:sz="4" w:space="0"/>
            </w:tcBorders>
            <w:shd w:val="clear" w:color="auto" w:fill="auto"/>
            <w:noWrap/>
            <w:vAlign w:val="center"/>
          </w:tcPr>
          <w:p>
            <w:pPr>
              <w:widowControl/>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八、住房保障支出　</w:t>
            </w:r>
          </w:p>
        </w:tc>
        <w:tc>
          <w:tcPr>
            <w:tcW w:w="81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22</w:t>
            </w:r>
          </w:p>
        </w:tc>
        <w:tc>
          <w:tcPr>
            <w:tcW w:w="107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25</w:t>
            </w:r>
            <w:r>
              <w:rPr>
                <w:rFonts w:hint="default" w:ascii="Times New Roman" w:hAnsi="Times New Roman" w:eastAsia="宋体" w:cs="Times New Roman"/>
                <w:color w:val="auto"/>
                <w:kern w:val="0"/>
                <w:sz w:val="22"/>
              </w:rPr>
              <w:t>.00</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25</w:t>
            </w:r>
            <w:r>
              <w:rPr>
                <w:rFonts w:hint="default" w:ascii="Times New Roman" w:hAnsi="Times New Roman" w:eastAsia="宋体" w:cs="Times New Roman"/>
                <w:color w:val="auto"/>
                <w:kern w:val="0"/>
                <w:sz w:val="22"/>
              </w:rPr>
              <w:t>.00</w:t>
            </w:r>
          </w:p>
        </w:tc>
        <w:tc>
          <w:tcPr>
            <w:tcW w:w="1394" w:type="dxa"/>
            <w:tcBorders>
              <w:top w:val="nil"/>
              <w:left w:val="nil"/>
              <w:bottom w:val="single" w:color="auto" w:sz="4" w:space="0"/>
              <w:right w:val="single" w:color="auto" w:sz="4" w:space="0"/>
            </w:tcBorders>
            <w:shd w:val="clear" w:color="auto" w:fill="auto"/>
            <w:noWrap/>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c>
          <w:tcPr>
            <w:tcW w:w="1573" w:type="dxa"/>
            <w:tcBorders>
              <w:top w:val="nil"/>
              <w:left w:val="nil"/>
              <w:bottom w:val="single" w:color="auto" w:sz="4" w:space="0"/>
              <w:right w:val="single" w:color="auto" w:sz="4" w:space="0"/>
            </w:tcBorders>
            <w:shd w:val="clear" w:color="auto" w:fill="auto"/>
            <w:noWrap/>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r>
      <w:tr>
        <w:tblPrEx>
          <w:tblCellMar>
            <w:top w:w="0" w:type="dxa"/>
            <w:left w:w="108" w:type="dxa"/>
            <w:bottom w:w="0" w:type="dxa"/>
            <w:right w:w="108" w:type="dxa"/>
          </w:tblCellMar>
        </w:tblPrEx>
        <w:trPr>
          <w:trHeight w:val="402" w:hRule="atLeast"/>
        </w:trPr>
        <w:tc>
          <w:tcPr>
            <w:tcW w:w="428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b/>
                <w:bCs/>
                <w:color w:val="auto"/>
                <w:kern w:val="0"/>
                <w:sz w:val="22"/>
              </w:rPr>
            </w:pPr>
            <w:r>
              <w:rPr>
                <w:rFonts w:hint="default" w:ascii="Times New Roman" w:hAnsi="Times New Roman" w:eastAsia="宋体" w:cs="Times New Roman"/>
                <w:b/>
                <w:bCs/>
                <w:color w:val="auto"/>
                <w:kern w:val="0"/>
                <w:sz w:val="22"/>
              </w:rPr>
              <w:t>本年收入合计</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9</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425.11</w:t>
            </w:r>
          </w:p>
        </w:tc>
        <w:tc>
          <w:tcPr>
            <w:tcW w:w="33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b/>
                <w:bCs/>
                <w:color w:val="auto"/>
                <w:kern w:val="0"/>
                <w:sz w:val="22"/>
              </w:rPr>
            </w:pPr>
            <w:r>
              <w:rPr>
                <w:rFonts w:hint="default" w:ascii="Times New Roman" w:hAnsi="Times New Roman" w:eastAsia="宋体" w:cs="Times New Roman"/>
                <w:b/>
                <w:bCs/>
                <w:color w:val="auto"/>
                <w:kern w:val="0"/>
                <w:sz w:val="22"/>
              </w:rPr>
              <w:t>本年支出合计</w:t>
            </w:r>
          </w:p>
        </w:tc>
        <w:tc>
          <w:tcPr>
            <w:tcW w:w="81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23</w:t>
            </w:r>
          </w:p>
        </w:tc>
        <w:tc>
          <w:tcPr>
            <w:tcW w:w="107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415.77</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415.77</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0.00</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b/>
                <w:bCs/>
                <w:color w:val="auto"/>
                <w:kern w:val="0"/>
                <w:sz w:val="22"/>
              </w:rPr>
            </w:pPr>
            <w:r>
              <w:rPr>
                <w:rFonts w:hint="default" w:ascii="Times New Roman" w:hAnsi="Times New Roman" w:eastAsia="宋体" w:cs="Times New Roman"/>
                <w:color w:val="auto"/>
                <w:kern w:val="0"/>
                <w:sz w:val="22"/>
              </w:rPr>
              <w:t>0.00</w:t>
            </w:r>
          </w:p>
        </w:tc>
      </w:tr>
      <w:tr>
        <w:tblPrEx>
          <w:tblCellMar>
            <w:top w:w="0" w:type="dxa"/>
            <w:left w:w="108" w:type="dxa"/>
            <w:bottom w:w="0" w:type="dxa"/>
            <w:right w:w="108" w:type="dxa"/>
          </w:tblCellMar>
        </w:tblPrEx>
        <w:trPr>
          <w:trHeight w:val="402" w:hRule="atLeast"/>
        </w:trPr>
        <w:tc>
          <w:tcPr>
            <w:tcW w:w="428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年初财政拨款结转和结余</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10</w:t>
            </w:r>
          </w:p>
        </w:tc>
        <w:tc>
          <w:tcPr>
            <w:tcW w:w="900" w:type="dxa"/>
            <w:tcBorders>
              <w:top w:val="nil"/>
              <w:left w:val="nil"/>
              <w:bottom w:val="single" w:color="auto" w:sz="4" w:space="0"/>
              <w:right w:val="single" w:color="auto" w:sz="4" w:space="0"/>
            </w:tcBorders>
            <w:shd w:val="clear" w:color="auto" w:fill="auto"/>
            <w:noWrap/>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c>
          <w:tcPr>
            <w:tcW w:w="33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年末财政拨款结转和结余</w:t>
            </w:r>
          </w:p>
        </w:tc>
        <w:tc>
          <w:tcPr>
            <w:tcW w:w="81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24</w:t>
            </w:r>
          </w:p>
        </w:tc>
        <w:tc>
          <w:tcPr>
            <w:tcW w:w="107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9.34</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9.34</w:t>
            </w:r>
          </w:p>
        </w:tc>
        <w:tc>
          <w:tcPr>
            <w:tcW w:w="1394" w:type="dxa"/>
            <w:tcBorders>
              <w:top w:val="nil"/>
              <w:left w:val="nil"/>
              <w:bottom w:val="single" w:color="auto" w:sz="4" w:space="0"/>
              <w:right w:val="single" w:color="auto" w:sz="4" w:space="0"/>
            </w:tcBorders>
            <w:shd w:val="clear" w:color="auto" w:fill="auto"/>
            <w:noWrap/>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c>
          <w:tcPr>
            <w:tcW w:w="1573" w:type="dxa"/>
            <w:tcBorders>
              <w:top w:val="nil"/>
              <w:left w:val="nil"/>
              <w:bottom w:val="single" w:color="auto" w:sz="4" w:space="0"/>
              <w:right w:val="single" w:color="auto" w:sz="4" w:space="0"/>
            </w:tcBorders>
            <w:shd w:val="clear" w:color="auto" w:fill="auto"/>
            <w:noWrap/>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r>
      <w:tr>
        <w:tblPrEx>
          <w:tblCellMar>
            <w:top w:w="0" w:type="dxa"/>
            <w:left w:w="108" w:type="dxa"/>
            <w:bottom w:w="0" w:type="dxa"/>
            <w:right w:w="108" w:type="dxa"/>
          </w:tblCellMar>
        </w:tblPrEx>
        <w:trPr>
          <w:trHeight w:val="402" w:hRule="atLeast"/>
        </w:trPr>
        <w:tc>
          <w:tcPr>
            <w:tcW w:w="428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 xml:space="preserve">      一般公共预算财政拨款</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11</w:t>
            </w:r>
          </w:p>
        </w:tc>
        <w:tc>
          <w:tcPr>
            <w:tcW w:w="900" w:type="dxa"/>
            <w:tcBorders>
              <w:top w:val="nil"/>
              <w:left w:val="nil"/>
              <w:bottom w:val="single" w:color="auto" w:sz="4" w:space="0"/>
              <w:right w:val="single" w:color="auto" w:sz="4" w:space="0"/>
            </w:tcBorders>
            <w:shd w:val="clear" w:color="auto" w:fill="auto"/>
            <w:noWrap/>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c>
          <w:tcPr>
            <w:tcW w:w="3367"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　</w:t>
            </w:r>
          </w:p>
        </w:tc>
        <w:tc>
          <w:tcPr>
            <w:tcW w:w="81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25</w:t>
            </w:r>
          </w:p>
        </w:tc>
        <w:tc>
          <w:tcPr>
            <w:tcW w:w="107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 w:val="22"/>
              </w:rPr>
            </w:pPr>
          </w:p>
        </w:tc>
      </w:tr>
      <w:tr>
        <w:tblPrEx>
          <w:tblCellMar>
            <w:top w:w="0" w:type="dxa"/>
            <w:left w:w="108" w:type="dxa"/>
            <w:bottom w:w="0" w:type="dxa"/>
            <w:right w:w="108" w:type="dxa"/>
          </w:tblCellMar>
        </w:tblPrEx>
        <w:trPr>
          <w:trHeight w:val="402" w:hRule="atLeast"/>
        </w:trPr>
        <w:tc>
          <w:tcPr>
            <w:tcW w:w="428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 xml:space="preserve">        政府性基金预算财政拨款</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12</w:t>
            </w:r>
          </w:p>
        </w:tc>
        <w:tc>
          <w:tcPr>
            <w:tcW w:w="900" w:type="dxa"/>
            <w:tcBorders>
              <w:top w:val="nil"/>
              <w:left w:val="nil"/>
              <w:bottom w:val="single" w:color="auto" w:sz="4" w:space="0"/>
              <w:right w:val="single" w:color="auto" w:sz="4" w:space="0"/>
            </w:tcBorders>
            <w:shd w:val="clear" w:color="auto" w:fill="auto"/>
            <w:noWrap/>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c>
          <w:tcPr>
            <w:tcW w:w="3367"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　</w:t>
            </w:r>
          </w:p>
        </w:tc>
        <w:tc>
          <w:tcPr>
            <w:tcW w:w="81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26</w:t>
            </w:r>
          </w:p>
        </w:tc>
        <w:tc>
          <w:tcPr>
            <w:tcW w:w="107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 w:val="22"/>
              </w:rPr>
            </w:pPr>
          </w:p>
        </w:tc>
      </w:tr>
      <w:tr>
        <w:tblPrEx>
          <w:tblCellMar>
            <w:top w:w="0" w:type="dxa"/>
            <w:left w:w="108" w:type="dxa"/>
            <w:bottom w:w="0" w:type="dxa"/>
            <w:right w:w="108" w:type="dxa"/>
          </w:tblCellMar>
        </w:tblPrEx>
        <w:trPr>
          <w:trHeight w:val="402" w:hRule="atLeast"/>
        </w:trPr>
        <w:tc>
          <w:tcPr>
            <w:tcW w:w="428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 xml:space="preserve">          国有资本经营预算财政拨款</w:t>
            </w:r>
          </w:p>
        </w:tc>
        <w:tc>
          <w:tcPr>
            <w:tcW w:w="71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13</w:t>
            </w:r>
          </w:p>
        </w:tc>
        <w:tc>
          <w:tcPr>
            <w:tcW w:w="900" w:type="dxa"/>
            <w:tcBorders>
              <w:top w:val="nil"/>
              <w:left w:val="nil"/>
              <w:bottom w:val="single" w:color="auto" w:sz="4" w:space="0"/>
              <w:right w:val="single" w:color="auto" w:sz="4" w:space="0"/>
            </w:tcBorders>
            <w:shd w:val="clear" w:color="auto" w:fill="auto"/>
            <w:noWrap/>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c>
          <w:tcPr>
            <w:tcW w:w="3367"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　</w:t>
            </w:r>
          </w:p>
        </w:tc>
        <w:tc>
          <w:tcPr>
            <w:tcW w:w="81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27</w:t>
            </w:r>
          </w:p>
        </w:tc>
        <w:tc>
          <w:tcPr>
            <w:tcW w:w="107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 w:val="22"/>
              </w:rPr>
            </w:pPr>
          </w:p>
        </w:tc>
      </w:tr>
      <w:tr>
        <w:tblPrEx>
          <w:tblCellMar>
            <w:top w:w="0" w:type="dxa"/>
            <w:left w:w="108" w:type="dxa"/>
            <w:bottom w:w="0" w:type="dxa"/>
            <w:right w:w="108" w:type="dxa"/>
          </w:tblCellMar>
        </w:tblPrEx>
        <w:trPr>
          <w:trHeight w:val="402" w:hRule="atLeast"/>
        </w:trPr>
        <w:tc>
          <w:tcPr>
            <w:tcW w:w="428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b/>
                <w:bCs/>
                <w:color w:val="auto"/>
                <w:kern w:val="0"/>
                <w:sz w:val="22"/>
              </w:rPr>
            </w:pPr>
            <w:r>
              <w:rPr>
                <w:rFonts w:hint="default" w:ascii="Times New Roman" w:hAnsi="Times New Roman" w:eastAsia="宋体" w:cs="Times New Roman"/>
                <w:b/>
                <w:bCs/>
                <w:color w:val="auto"/>
                <w:kern w:val="0"/>
                <w:sz w:val="22"/>
              </w:rPr>
              <w:t>总计</w:t>
            </w:r>
          </w:p>
        </w:tc>
        <w:tc>
          <w:tcPr>
            <w:tcW w:w="717"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14</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425.11</w:t>
            </w:r>
          </w:p>
        </w:tc>
        <w:tc>
          <w:tcPr>
            <w:tcW w:w="3367"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b/>
                <w:bCs/>
                <w:color w:val="auto"/>
                <w:kern w:val="0"/>
                <w:sz w:val="22"/>
              </w:rPr>
            </w:pPr>
            <w:r>
              <w:rPr>
                <w:rFonts w:hint="default" w:ascii="Times New Roman" w:hAnsi="Times New Roman" w:eastAsia="宋体" w:cs="Times New Roman"/>
                <w:b/>
                <w:bCs/>
                <w:color w:val="auto"/>
                <w:kern w:val="0"/>
                <w:sz w:val="22"/>
              </w:rPr>
              <w:t>总计</w:t>
            </w:r>
          </w:p>
        </w:tc>
        <w:tc>
          <w:tcPr>
            <w:tcW w:w="816"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28</w:t>
            </w:r>
          </w:p>
        </w:tc>
        <w:tc>
          <w:tcPr>
            <w:tcW w:w="1071"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425.11</w:t>
            </w:r>
          </w:p>
        </w:tc>
        <w:tc>
          <w:tcPr>
            <w:tcW w:w="1394"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425.11</w:t>
            </w:r>
          </w:p>
        </w:tc>
        <w:tc>
          <w:tcPr>
            <w:tcW w:w="1394" w:type="dxa"/>
            <w:tcBorders>
              <w:top w:val="nil"/>
              <w:left w:val="nil"/>
              <w:bottom w:val="single" w:color="auto" w:sz="4" w:space="0"/>
              <w:right w:val="single" w:color="auto" w:sz="4" w:space="0"/>
            </w:tcBorders>
            <w:shd w:val="clear" w:color="auto" w:fill="auto"/>
            <w:noWrap/>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c>
          <w:tcPr>
            <w:tcW w:w="1573" w:type="dxa"/>
            <w:tcBorders>
              <w:top w:val="nil"/>
              <w:left w:val="nil"/>
              <w:bottom w:val="single" w:color="auto" w:sz="4" w:space="0"/>
              <w:right w:val="single" w:color="auto" w:sz="4" w:space="0"/>
            </w:tcBorders>
            <w:shd w:val="clear" w:color="auto" w:fill="auto"/>
            <w:noWrap/>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r>
      <w:tr>
        <w:tblPrEx>
          <w:tblCellMar>
            <w:top w:w="0" w:type="dxa"/>
            <w:left w:w="108" w:type="dxa"/>
            <w:bottom w:w="0" w:type="dxa"/>
            <w:right w:w="108" w:type="dxa"/>
          </w:tblCellMar>
        </w:tblPrEx>
        <w:trPr>
          <w:trHeight w:val="585" w:hRule="atLeast"/>
        </w:trPr>
        <w:tc>
          <w:tcPr>
            <w:tcW w:w="15521" w:type="dxa"/>
            <w:gridSpan w:val="10"/>
            <w:tcBorders>
              <w:top w:val="nil"/>
              <w:left w:val="nil"/>
              <w:bottom w:val="nil"/>
              <w:right w:val="nil"/>
            </w:tcBorders>
            <w:shd w:val="clear" w:color="auto" w:fill="auto"/>
            <w:vAlign w:val="center"/>
          </w:tcPr>
          <w:p>
            <w:pPr>
              <w:widowControl/>
              <w:jc w:val="lef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hint="default" w:ascii="Times New Roman" w:hAnsi="Times New Roman" w:eastAsia="方正小标宋_GBK" w:cs="Times New Roman"/>
          <w:color w:val="auto"/>
          <w:kern w:val="0"/>
          <w:sz w:val="36"/>
          <w:szCs w:val="36"/>
        </w:rPr>
      </w:pPr>
      <w:r>
        <w:rPr>
          <w:rFonts w:hint="default" w:ascii="Times New Roman" w:hAnsi="Times New Roman" w:eastAsia="方正小标宋_GBK" w:cs="Times New Roman"/>
          <w:color w:val="auto"/>
          <w:kern w:val="0"/>
          <w:sz w:val="36"/>
          <w:szCs w:val="36"/>
        </w:rPr>
        <w:t>一般公共预算财政拨款支出决算表</w:t>
      </w:r>
      <w:bookmarkEnd w:id="1"/>
    </w:p>
    <w:p>
      <w:pPr>
        <w:widowControl/>
        <w:spacing w:before="156" w:beforeLines="50"/>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xml:space="preserve">     </w:t>
      </w:r>
      <w:r>
        <w:rPr>
          <w:rFonts w:hint="default" w:ascii="Times New Roman" w:hAnsi="Times New Roman" w:eastAsia="仿宋_GB2312" w:cs="Times New Roman"/>
          <w:color w:val="auto"/>
          <w:kern w:val="0"/>
          <w:szCs w:val="21"/>
        </w:rPr>
        <w:t>部门：</w:t>
      </w:r>
      <w:r>
        <w:rPr>
          <w:rFonts w:hint="default" w:ascii="Times New Roman" w:hAnsi="Times New Roman" w:eastAsia="宋体" w:cs="Times New Roman"/>
          <w:color w:val="auto"/>
          <w:kern w:val="0"/>
          <w:sz w:val="20"/>
          <w:szCs w:val="20"/>
        </w:rPr>
        <w:t>湖南省新闻出版广电局岳阳中波转播台</w:t>
      </w:r>
      <w:r>
        <w:rPr>
          <w:rFonts w:hint="default" w:ascii="Times New Roman" w:hAnsi="Times New Roman" w:eastAsia="仿宋_GB2312" w:cs="Times New Roman"/>
          <w:color w:val="auto"/>
          <w:kern w:val="0"/>
          <w:szCs w:val="21"/>
        </w:rPr>
        <w:t xml:space="preserve">                  </w:t>
      </w:r>
      <w:r>
        <w:rPr>
          <w:rFonts w:hint="default" w:ascii="Times New Roman" w:hAnsi="Times New Roman" w:eastAsia="仿宋_GB2312" w:cs="Times New Roman"/>
          <w:color w:val="auto"/>
          <w:kern w:val="0"/>
          <w:szCs w:val="21"/>
        </w:rPr>
        <w:t xml:space="preserve">                                                </w:t>
      </w:r>
      <w:r>
        <w:rPr>
          <w:rFonts w:hint="default" w:ascii="Times New Roman" w:hAnsi="Times New Roman" w:eastAsia="仿宋_GB2312" w:cs="Times New Roman"/>
          <w:color w:val="auto"/>
          <w:kern w:val="0"/>
          <w:szCs w:val="21"/>
        </w:rPr>
        <w:t xml:space="preserve">                     </w:t>
      </w:r>
      <w:r>
        <w:rPr>
          <w:rFonts w:hint="default" w:ascii="Times New Roman" w:hAnsi="Times New Roman" w:eastAsia="仿宋_GB2312" w:cs="Times New Roman"/>
          <w:color w:val="auto"/>
          <w:kern w:val="0"/>
          <w:szCs w:val="21"/>
        </w:rPr>
        <w:t>公开05表</w:t>
      </w:r>
    </w:p>
    <w:p>
      <w:pPr>
        <w:widowControl/>
        <w:jc w:val="left"/>
        <w:rPr>
          <w:rFonts w:hint="default" w:ascii="Times New Roman" w:hAnsi="Times New Roman" w:eastAsia="宋体" w:cs="Times New Roman"/>
          <w:color w:val="auto"/>
          <w:kern w:val="0"/>
          <w:sz w:val="20"/>
          <w:szCs w:val="20"/>
        </w:rPr>
      </w:pPr>
      <w:r>
        <w:rPr>
          <w:rFonts w:hint="default" w:ascii="Times New Roman" w:hAnsi="Times New Roman" w:eastAsia="仿宋_GB2312" w:cs="Times New Roman"/>
          <w:color w:val="auto"/>
          <w:kern w:val="0"/>
          <w:szCs w:val="21"/>
        </w:rPr>
        <w:t xml:space="preserve">                                                                                                                     </w:t>
      </w:r>
      <w:r>
        <w:rPr>
          <w:rFonts w:hint="default" w:ascii="Times New Roman" w:hAnsi="Times New Roman" w:eastAsia="仿宋_GB2312" w:cs="Times New Roman"/>
          <w:color w:val="auto"/>
          <w:kern w:val="0"/>
          <w:szCs w:val="21"/>
        </w:rPr>
        <w:t xml:space="preserve">      </w:t>
      </w:r>
      <w:r>
        <w:rPr>
          <w:rFonts w:hint="default" w:ascii="Times New Roman" w:hAnsi="Times New Roman" w:eastAsia="仿宋_GB2312" w:cs="Times New Roman"/>
          <w:color w:val="auto"/>
          <w:kern w:val="0"/>
          <w:szCs w:val="21"/>
        </w:rPr>
        <w:t xml:space="preserve">       单位：万元</w:t>
      </w:r>
    </w:p>
    <w:tbl>
      <w:tblPr>
        <w:tblStyle w:val="7"/>
        <w:tblW w:w="14299" w:type="dxa"/>
        <w:jc w:val="center"/>
        <w:tblLayout w:type="autofit"/>
        <w:tblCellMar>
          <w:top w:w="0" w:type="dxa"/>
          <w:left w:w="108" w:type="dxa"/>
          <w:bottom w:w="0" w:type="dxa"/>
          <w:right w:w="108" w:type="dxa"/>
        </w:tblCellMar>
      </w:tblPr>
      <w:tblGrid>
        <w:gridCol w:w="1121"/>
        <w:gridCol w:w="85"/>
        <w:gridCol w:w="3547"/>
        <w:gridCol w:w="3017"/>
        <w:gridCol w:w="3511"/>
        <w:gridCol w:w="3018"/>
      </w:tblGrid>
      <w:tr>
        <w:tblPrEx>
          <w:tblCellMar>
            <w:top w:w="0" w:type="dxa"/>
            <w:left w:w="108" w:type="dxa"/>
            <w:bottom w:w="0" w:type="dxa"/>
            <w:right w:w="108" w:type="dxa"/>
          </w:tblCellMar>
        </w:tblPrEx>
        <w:trPr>
          <w:trHeight w:val="418" w:hRule="atLeast"/>
          <w:jc w:val="center"/>
        </w:trPr>
        <w:tc>
          <w:tcPr>
            <w:tcW w:w="4753" w:type="dxa"/>
            <w:gridSpan w:val="3"/>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
                <w:color w:val="auto"/>
                <w:kern w:val="0"/>
                <w:szCs w:val="21"/>
              </w:rPr>
            </w:pPr>
            <w:r>
              <w:rPr>
                <w:rFonts w:hint="default" w:ascii="Times New Roman" w:hAnsi="Times New Roman" w:eastAsia="仿宋_GB2312" w:cs="Times New Roman"/>
                <w:b/>
                <w:color w:val="auto"/>
                <w:kern w:val="0"/>
                <w:szCs w:val="21"/>
              </w:rPr>
              <w:t xml:space="preserve">项 </w:t>
            </w:r>
            <w:r>
              <w:rPr>
                <w:rFonts w:hint="default" w:ascii="Times New Roman" w:hAnsi="Times New Roman" w:eastAsia="仿宋_GB2312" w:cs="Times New Roman"/>
                <w:b/>
                <w:color w:val="auto"/>
                <w:kern w:val="0"/>
                <w:szCs w:val="21"/>
              </w:rPr>
              <w:t xml:space="preserve">   </w:t>
            </w:r>
            <w:r>
              <w:rPr>
                <w:rFonts w:hint="default" w:ascii="Times New Roman" w:hAnsi="Times New Roman" w:eastAsia="仿宋_GB2312" w:cs="Times New Roman"/>
                <w:b/>
                <w:color w:val="auto"/>
                <w:kern w:val="0"/>
                <w:szCs w:val="21"/>
              </w:rPr>
              <w:t>目</w:t>
            </w:r>
          </w:p>
        </w:tc>
        <w:tc>
          <w:tcPr>
            <w:tcW w:w="9546"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hint="default" w:ascii="Times New Roman" w:hAnsi="Times New Roman" w:eastAsia="仿宋_GB2312" w:cs="Times New Roman"/>
                <w:b/>
                <w:color w:val="auto"/>
                <w:kern w:val="0"/>
                <w:szCs w:val="21"/>
              </w:rPr>
            </w:pPr>
            <w:r>
              <w:rPr>
                <w:rFonts w:hint="default" w:ascii="Times New Roman" w:hAnsi="Times New Roman" w:eastAsia="仿宋_GB2312" w:cs="Times New Roman"/>
                <w:b/>
                <w:color w:val="auto"/>
                <w:kern w:val="0"/>
                <w:szCs w:val="21"/>
              </w:rPr>
              <w:t>本年支出</w:t>
            </w:r>
          </w:p>
        </w:tc>
      </w:tr>
      <w:tr>
        <w:tblPrEx>
          <w:tblCellMar>
            <w:top w:w="0" w:type="dxa"/>
            <w:left w:w="108" w:type="dxa"/>
            <w:bottom w:w="0" w:type="dxa"/>
            <w:right w:w="108" w:type="dxa"/>
          </w:tblCellMar>
        </w:tblPrEx>
        <w:trPr>
          <w:trHeight w:val="496" w:hRule="atLeast"/>
          <w:jc w:val="center"/>
        </w:trPr>
        <w:tc>
          <w:tcPr>
            <w:tcW w:w="1206" w:type="dxa"/>
            <w:gridSpan w:val="2"/>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
                <w:color w:val="auto"/>
                <w:kern w:val="0"/>
                <w:szCs w:val="21"/>
              </w:rPr>
            </w:pPr>
            <w:r>
              <w:rPr>
                <w:rFonts w:hint="default" w:ascii="Times New Roman" w:hAnsi="Times New Roman" w:eastAsia="仿宋_GB2312" w:cs="Times New Roman"/>
                <w:b/>
                <w:color w:val="auto"/>
                <w:kern w:val="0"/>
                <w:szCs w:val="21"/>
              </w:rPr>
              <w:t>功能分类科目编码</w:t>
            </w:r>
          </w:p>
        </w:tc>
        <w:tc>
          <w:tcPr>
            <w:tcW w:w="354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
                <w:color w:val="auto"/>
                <w:kern w:val="0"/>
                <w:szCs w:val="21"/>
              </w:rPr>
            </w:pPr>
            <w:r>
              <w:rPr>
                <w:rFonts w:hint="default" w:ascii="Times New Roman" w:hAnsi="Times New Roman" w:eastAsia="仿宋_GB2312" w:cs="Times New Roman"/>
                <w:b/>
                <w:color w:val="auto"/>
                <w:kern w:val="0"/>
                <w:szCs w:val="21"/>
              </w:rPr>
              <w:t>科目名称</w:t>
            </w:r>
          </w:p>
        </w:tc>
        <w:tc>
          <w:tcPr>
            <w:tcW w:w="301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default" w:ascii="Times New Roman" w:hAnsi="Times New Roman" w:eastAsia="仿宋_GB2312" w:cs="Times New Roman"/>
                <w:b/>
                <w:color w:val="auto"/>
                <w:kern w:val="0"/>
                <w:szCs w:val="21"/>
              </w:rPr>
            </w:pPr>
            <w:r>
              <w:rPr>
                <w:rFonts w:hint="default" w:ascii="Times New Roman" w:hAnsi="Times New Roman" w:eastAsia="仿宋_GB2312" w:cs="Times New Roman"/>
                <w:b/>
                <w:color w:val="auto"/>
                <w:kern w:val="0"/>
                <w:szCs w:val="21"/>
              </w:rPr>
              <w:t>小计</w:t>
            </w:r>
          </w:p>
        </w:tc>
        <w:tc>
          <w:tcPr>
            <w:tcW w:w="351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default" w:ascii="Times New Roman" w:hAnsi="Times New Roman" w:eastAsia="仿宋_GB2312" w:cs="Times New Roman"/>
                <w:b/>
                <w:color w:val="auto"/>
                <w:kern w:val="0"/>
                <w:szCs w:val="21"/>
              </w:rPr>
            </w:pPr>
            <w:r>
              <w:rPr>
                <w:rFonts w:hint="default" w:ascii="Times New Roman" w:hAnsi="Times New Roman" w:eastAsia="仿宋_GB2312" w:cs="Times New Roman"/>
                <w:b/>
                <w:color w:val="auto"/>
                <w:kern w:val="0"/>
                <w:szCs w:val="21"/>
              </w:rPr>
              <w:t>基本支出</w:t>
            </w:r>
          </w:p>
        </w:tc>
        <w:tc>
          <w:tcPr>
            <w:tcW w:w="3018"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hint="default" w:ascii="Times New Roman" w:hAnsi="Times New Roman" w:eastAsia="仿宋_GB2312" w:cs="Times New Roman"/>
                <w:b/>
                <w:color w:val="auto"/>
                <w:kern w:val="0"/>
                <w:szCs w:val="21"/>
              </w:rPr>
            </w:pPr>
            <w:r>
              <w:rPr>
                <w:rFonts w:hint="default" w:ascii="Times New Roman" w:hAnsi="Times New Roman" w:eastAsia="仿宋_GB2312" w:cs="Times New Roman"/>
                <w:b/>
                <w:color w:val="auto"/>
                <w:kern w:val="0"/>
                <w:szCs w:val="21"/>
              </w:rPr>
              <w:t>项目支出</w:t>
            </w:r>
          </w:p>
        </w:tc>
      </w:tr>
      <w:tr>
        <w:tblPrEx>
          <w:tblCellMar>
            <w:top w:w="0" w:type="dxa"/>
            <w:left w:w="108" w:type="dxa"/>
            <w:bottom w:w="0" w:type="dxa"/>
            <w:right w:w="108" w:type="dxa"/>
          </w:tblCellMar>
        </w:tblPrEx>
        <w:trPr>
          <w:trHeight w:val="364" w:hRule="atLeast"/>
          <w:jc w:val="center"/>
        </w:trPr>
        <w:tc>
          <w:tcPr>
            <w:tcW w:w="1206"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kern w:val="0"/>
                <w:szCs w:val="21"/>
              </w:rPr>
            </w:pPr>
          </w:p>
        </w:tc>
        <w:tc>
          <w:tcPr>
            <w:tcW w:w="3547"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kern w:val="0"/>
                <w:szCs w:val="21"/>
              </w:rPr>
            </w:pPr>
          </w:p>
        </w:tc>
        <w:tc>
          <w:tcPr>
            <w:tcW w:w="3017" w:type="dxa"/>
            <w:vMerge w:val="continue"/>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eastAsia="仿宋_GB2312" w:cs="Times New Roman"/>
                <w:color w:val="auto"/>
                <w:kern w:val="0"/>
                <w:szCs w:val="21"/>
              </w:rPr>
            </w:pPr>
          </w:p>
        </w:tc>
        <w:tc>
          <w:tcPr>
            <w:tcW w:w="3511" w:type="dxa"/>
            <w:vMerge w:val="continue"/>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eastAsia="仿宋_GB2312" w:cs="Times New Roman"/>
                <w:color w:val="auto"/>
                <w:kern w:val="0"/>
                <w:szCs w:val="21"/>
              </w:rPr>
            </w:pPr>
          </w:p>
        </w:tc>
        <w:tc>
          <w:tcPr>
            <w:tcW w:w="3018" w:type="dxa"/>
            <w:vMerge w:val="continue"/>
            <w:tcBorders>
              <w:top w:val="nil"/>
              <w:left w:val="single" w:color="auto" w:sz="4" w:space="0"/>
              <w:bottom w:val="single" w:color="000000" w:sz="4" w:space="0"/>
              <w:right w:val="single" w:color="auto" w:sz="8" w:space="0"/>
            </w:tcBorders>
            <w:vAlign w:val="center"/>
          </w:tcPr>
          <w:p>
            <w:pPr>
              <w:widowControl/>
              <w:jc w:val="left"/>
              <w:rPr>
                <w:rFonts w:hint="default" w:ascii="Times New Roman" w:hAnsi="Times New Roman" w:eastAsia="仿宋_GB2312" w:cs="Times New Roman"/>
                <w:color w:val="auto"/>
                <w:kern w:val="0"/>
                <w:szCs w:val="21"/>
              </w:rPr>
            </w:pPr>
          </w:p>
        </w:tc>
      </w:tr>
      <w:tr>
        <w:tblPrEx>
          <w:tblCellMar>
            <w:top w:w="0" w:type="dxa"/>
            <w:left w:w="108" w:type="dxa"/>
            <w:bottom w:w="0" w:type="dxa"/>
            <w:right w:w="108" w:type="dxa"/>
          </w:tblCellMar>
        </w:tblPrEx>
        <w:trPr>
          <w:trHeight w:val="312" w:hRule="atLeast"/>
          <w:jc w:val="center"/>
        </w:trPr>
        <w:tc>
          <w:tcPr>
            <w:tcW w:w="1206"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kern w:val="0"/>
                <w:szCs w:val="21"/>
              </w:rPr>
            </w:pPr>
          </w:p>
        </w:tc>
        <w:tc>
          <w:tcPr>
            <w:tcW w:w="3547"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kern w:val="0"/>
                <w:szCs w:val="21"/>
              </w:rPr>
            </w:pPr>
          </w:p>
        </w:tc>
        <w:tc>
          <w:tcPr>
            <w:tcW w:w="3017" w:type="dxa"/>
            <w:vMerge w:val="continue"/>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eastAsia="仿宋_GB2312" w:cs="Times New Roman"/>
                <w:color w:val="auto"/>
                <w:kern w:val="0"/>
                <w:szCs w:val="21"/>
              </w:rPr>
            </w:pPr>
          </w:p>
        </w:tc>
        <w:tc>
          <w:tcPr>
            <w:tcW w:w="3511" w:type="dxa"/>
            <w:vMerge w:val="continue"/>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eastAsia="仿宋_GB2312" w:cs="Times New Roman"/>
                <w:color w:val="auto"/>
                <w:kern w:val="0"/>
                <w:szCs w:val="21"/>
              </w:rPr>
            </w:pPr>
          </w:p>
        </w:tc>
        <w:tc>
          <w:tcPr>
            <w:tcW w:w="3018" w:type="dxa"/>
            <w:vMerge w:val="continue"/>
            <w:tcBorders>
              <w:top w:val="nil"/>
              <w:left w:val="single" w:color="auto" w:sz="4" w:space="0"/>
              <w:bottom w:val="single" w:color="000000" w:sz="4" w:space="0"/>
              <w:right w:val="single" w:color="auto" w:sz="8" w:space="0"/>
            </w:tcBorders>
            <w:vAlign w:val="center"/>
          </w:tcPr>
          <w:p>
            <w:pPr>
              <w:widowControl/>
              <w:jc w:val="left"/>
              <w:rPr>
                <w:rFonts w:hint="default" w:ascii="Times New Roman" w:hAnsi="Times New Roman" w:eastAsia="仿宋_GB2312" w:cs="Times New Roman"/>
                <w:color w:val="auto"/>
                <w:kern w:val="0"/>
                <w:szCs w:val="21"/>
              </w:rPr>
            </w:pPr>
          </w:p>
        </w:tc>
      </w:tr>
      <w:tr>
        <w:tblPrEx>
          <w:tblCellMar>
            <w:top w:w="0" w:type="dxa"/>
            <w:left w:w="108" w:type="dxa"/>
            <w:bottom w:w="0" w:type="dxa"/>
            <w:right w:w="108" w:type="dxa"/>
          </w:tblCellMar>
        </w:tblPrEx>
        <w:trPr>
          <w:trHeight w:val="452" w:hRule="atLeast"/>
          <w:jc w:val="center"/>
        </w:trPr>
        <w:tc>
          <w:tcPr>
            <w:tcW w:w="4753"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栏次</w:t>
            </w:r>
          </w:p>
        </w:tc>
        <w:tc>
          <w:tcPr>
            <w:tcW w:w="3017"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1</w:t>
            </w:r>
          </w:p>
        </w:tc>
        <w:tc>
          <w:tcPr>
            <w:tcW w:w="3511"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2</w:t>
            </w:r>
          </w:p>
        </w:tc>
        <w:tc>
          <w:tcPr>
            <w:tcW w:w="3018" w:type="dxa"/>
            <w:tcBorders>
              <w:top w:val="nil"/>
              <w:left w:val="nil"/>
              <w:bottom w:val="single" w:color="auto" w:sz="4" w:space="0"/>
              <w:right w:val="single" w:color="auto" w:sz="8"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3</w:t>
            </w:r>
          </w:p>
        </w:tc>
      </w:tr>
      <w:tr>
        <w:tblPrEx>
          <w:tblCellMar>
            <w:top w:w="0" w:type="dxa"/>
            <w:left w:w="108" w:type="dxa"/>
            <w:bottom w:w="0" w:type="dxa"/>
            <w:right w:w="108" w:type="dxa"/>
          </w:tblCellMar>
        </w:tblPrEx>
        <w:trPr>
          <w:trHeight w:val="452" w:hRule="atLeast"/>
          <w:jc w:val="center"/>
        </w:trPr>
        <w:tc>
          <w:tcPr>
            <w:tcW w:w="4753"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合计</w:t>
            </w:r>
          </w:p>
        </w:tc>
        <w:tc>
          <w:tcPr>
            <w:tcW w:w="3017"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415.77</w:t>
            </w:r>
          </w:p>
        </w:tc>
        <w:tc>
          <w:tcPr>
            <w:tcW w:w="3511"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404.81</w:t>
            </w:r>
          </w:p>
        </w:tc>
        <w:tc>
          <w:tcPr>
            <w:tcW w:w="3018" w:type="dxa"/>
            <w:tcBorders>
              <w:top w:val="nil"/>
              <w:left w:val="nil"/>
              <w:bottom w:val="single" w:color="auto" w:sz="4" w:space="0"/>
              <w:right w:val="single" w:color="auto" w:sz="8"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10.95</w:t>
            </w:r>
          </w:p>
        </w:tc>
      </w:tr>
      <w:tr>
        <w:tblPrEx>
          <w:tblCellMar>
            <w:top w:w="0" w:type="dxa"/>
            <w:left w:w="108" w:type="dxa"/>
            <w:bottom w:w="0" w:type="dxa"/>
            <w:right w:w="108" w:type="dxa"/>
          </w:tblCellMar>
        </w:tblPrEx>
        <w:trPr>
          <w:trHeight w:val="452" w:hRule="atLeast"/>
          <w:jc w:val="center"/>
        </w:trPr>
        <w:tc>
          <w:tcPr>
            <w:tcW w:w="1121" w:type="dxa"/>
            <w:tcBorders>
              <w:top w:val="single" w:color="auto" w:sz="4" w:space="0"/>
              <w:left w:val="single" w:color="auto" w:sz="8" w:space="0"/>
              <w:bottom w:val="single" w:color="auto" w:sz="4" w:space="0"/>
              <w:right w:val="single" w:color="auto" w:sz="4" w:space="0"/>
            </w:tcBorders>
            <w:shd w:val="clear" w:color="auto" w:fill="auto"/>
            <w:vAlign w:val="center"/>
          </w:tcPr>
          <w:p>
            <w:pPr>
              <w:rPr>
                <w:rFonts w:hint="default" w:ascii="Times New Roman" w:hAnsi="Times New Roman" w:eastAsia="仿宋_GB2312" w:cs="Times New Roman"/>
                <w:color w:val="auto"/>
                <w:kern w:val="0"/>
                <w:szCs w:val="21"/>
              </w:rPr>
            </w:pPr>
            <w:r>
              <w:rPr>
                <w:rFonts w:hint="default" w:ascii="Times New Roman" w:hAnsi="Times New Roman" w:cs="Times New Roman"/>
                <w:color w:val="auto"/>
              </w:rPr>
              <w:t>　207</w:t>
            </w:r>
          </w:p>
        </w:tc>
        <w:tc>
          <w:tcPr>
            <w:tcW w:w="3632" w:type="dxa"/>
            <w:gridSpan w:val="2"/>
            <w:tcBorders>
              <w:top w:val="nil"/>
              <w:left w:val="nil"/>
              <w:bottom w:val="single" w:color="auto" w:sz="4" w:space="0"/>
              <w:right w:val="single" w:color="auto" w:sz="4" w:space="0"/>
            </w:tcBorders>
            <w:shd w:val="clear" w:color="auto" w:fill="auto"/>
            <w:vAlign w:val="center"/>
          </w:tcPr>
          <w:p>
            <w:pPr>
              <w:rPr>
                <w:rFonts w:hint="default" w:ascii="Times New Roman" w:hAnsi="Times New Roman" w:eastAsia="仿宋_GB2312" w:cs="Times New Roman"/>
                <w:color w:val="auto"/>
                <w:kern w:val="0"/>
                <w:szCs w:val="21"/>
              </w:rPr>
            </w:pPr>
            <w:r>
              <w:rPr>
                <w:rFonts w:hint="default" w:ascii="Times New Roman" w:hAnsi="Times New Roman" w:cs="Times New Roman"/>
                <w:color w:val="auto"/>
              </w:rPr>
              <w:t>　文化旅游体育与传媒支出</w:t>
            </w:r>
          </w:p>
        </w:tc>
        <w:tc>
          <w:tcPr>
            <w:tcW w:w="3017"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344.27</w:t>
            </w:r>
          </w:p>
        </w:tc>
        <w:tc>
          <w:tcPr>
            <w:tcW w:w="3511"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333.31</w:t>
            </w:r>
          </w:p>
        </w:tc>
        <w:tc>
          <w:tcPr>
            <w:tcW w:w="3018" w:type="dxa"/>
            <w:tcBorders>
              <w:top w:val="nil"/>
              <w:left w:val="nil"/>
              <w:bottom w:val="single" w:color="auto" w:sz="4" w:space="0"/>
              <w:right w:val="single" w:color="auto" w:sz="8"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10.95</w:t>
            </w:r>
          </w:p>
        </w:tc>
      </w:tr>
      <w:tr>
        <w:tblPrEx>
          <w:tblCellMar>
            <w:top w:w="0" w:type="dxa"/>
            <w:left w:w="108" w:type="dxa"/>
            <w:bottom w:w="0" w:type="dxa"/>
            <w:right w:w="108" w:type="dxa"/>
          </w:tblCellMar>
        </w:tblPrEx>
        <w:trPr>
          <w:trHeight w:val="452" w:hRule="atLeast"/>
          <w:jc w:val="center"/>
        </w:trPr>
        <w:tc>
          <w:tcPr>
            <w:tcW w:w="1121" w:type="dxa"/>
            <w:tcBorders>
              <w:top w:val="single" w:color="auto" w:sz="4" w:space="0"/>
              <w:left w:val="single" w:color="auto" w:sz="8" w:space="0"/>
              <w:bottom w:val="single" w:color="auto" w:sz="4" w:space="0"/>
              <w:right w:val="single" w:color="auto" w:sz="4" w:space="0"/>
            </w:tcBorders>
            <w:shd w:val="clear" w:color="auto" w:fill="auto"/>
            <w:vAlign w:val="center"/>
          </w:tcPr>
          <w:p>
            <w:pPr>
              <w:rPr>
                <w:rFonts w:hint="default" w:ascii="Times New Roman" w:hAnsi="Times New Roman" w:eastAsia="仿宋_GB2312" w:cs="Times New Roman"/>
                <w:color w:val="auto"/>
                <w:kern w:val="0"/>
                <w:szCs w:val="21"/>
              </w:rPr>
            </w:pPr>
            <w:r>
              <w:rPr>
                <w:rFonts w:hint="default" w:ascii="Times New Roman" w:hAnsi="Times New Roman" w:cs="Times New Roman"/>
                <w:color w:val="auto"/>
              </w:rPr>
              <w:t>　20708</w:t>
            </w:r>
          </w:p>
        </w:tc>
        <w:tc>
          <w:tcPr>
            <w:tcW w:w="3632" w:type="dxa"/>
            <w:gridSpan w:val="2"/>
            <w:tcBorders>
              <w:top w:val="nil"/>
              <w:left w:val="nil"/>
              <w:bottom w:val="single" w:color="auto" w:sz="4" w:space="0"/>
              <w:right w:val="single" w:color="auto" w:sz="4" w:space="0"/>
            </w:tcBorders>
            <w:shd w:val="clear" w:color="auto" w:fill="auto"/>
            <w:vAlign w:val="center"/>
          </w:tcPr>
          <w:p>
            <w:pPr>
              <w:rPr>
                <w:rFonts w:hint="default" w:ascii="Times New Roman" w:hAnsi="Times New Roman" w:eastAsia="仿宋_GB2312" w:cs="Times New Roman"/>
                <w:color w:val="auto"/>
                <w:kern w:val="0"/>
                <w:szCs w:val="21"/>
              </w:rPr>
            </w:pPr>
            <w:r>
              <w:rPr>
                <w:rFonts w:hint="default" w:ascii="Times New Roman" w:hAnsi="Times New Roman" w:cs="Times New Roman"/>
                <w:color w:val="auto"/>
              </w:rPr>
              <w:t>　广播电视</w:t>
            </w:r>
          </w:p>
        </w:tc>
        <w:tc>
          <w:tcPr>
            <w:tcW w:w="3017"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344.27</w:t>
            </w:r>
          </w:p>
        </w:tc>
        <w:tc>
          <w:tcPr>
            <w:tcW w:w="3511"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333.31</w:t>
            </w:r>
          </w:p>
        </w:tc>
        <w:tc>
          <w:tcPr>
            <w:tcW w:w="3018" w:type="dxa"/>
            <w:tcBorders>
              <w:top w:val="nil"/>
              <w:left w:val="nil"/>
              <w:bottom w:val="single" w:color="auto" w:sz="4" w:space="0"/>
              <w:right w:val="single" w:color="auto" w:sz="8"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10.95</w:t>
            </w:r>
          </w:p>
        </w:tc>
      </w:tr>
      <w:tr>
        <w:tblPrEx>
          <w:tblCellMar>
            <w:top w:w="0" w:type="dxa"/>
            <w:left w:w="108" w:type="dxa"/>
            <w:bottom w:w="0" w:type="dxa"/>
            <w:right w:w="108" w:type="dxa"/>
          </w:tblCellMar>
        </w:tblPrEx>
        <w:trPr>
          <w:trHeight w:val="452" w:hRule="atLeast"/>
          <w:jc w:val="center"/>
        </w:trPr>
        <w:tc>
          <w:tcPr>
            <w:tcW w:w="1121" w:type="dxa"/>
            <w:tcBorders>
              <w:top w:val="single" w:color="auto" w:sz="4" w:space="0"/>
              <w:left w:val="single" w:color="auto" w:sz="8" w:space="0"/>
              <w:bottom w:val="single" w:color="auto" w:sz="4" w:space="0"/>
              <w:right w:val="single" w:color="auto" w:sz="4" w:space="0"/>
            </w:tcBorders>
            <w:shd w:val="clear" w:color="auto" w:fill="auto"/>
            <w:vAlign w:val="center"/>
          </w:tcPr>
          <w:p>
            <w:pPr>
              <w:rPr>
                <w:rFonts w:hint="default" w:ascii="Times New Roman" w:hAnsi="Times New Roman" w:eastAsia="仿宋_GB2312" w:cs="Times New Roman"/>
                <w:color w:val="auto"/>
                <w:kern w:val="0"/>
                <w:szCs w:val="21"/>
              </w:rPr>
            </w:pPr>
            <w:r>
              <w:rPr>
                <w:rFonts w:hint="default" w:ascii="Times New Roman" w:hAnsi="Times New Roman" w:cs="Times New Roman"/>
                <w:color w:val="auto"/>
              </w:rPr>
              <w:t>　2070804</w:t>
            </w:r>
          </w:p>
        </w:tc>
        <w:tc>
          <w:tcPr>
            <w:tcW w:w="3632" w:type="dxa"/>
            <w:gridSpan w:val="2"/>
            <w:tcBorders>
              <w:top w:val="nil"/>
              <w:left w:val="nil"/>
              <w:bottom w:val="single" w:color="auto" w:sz="4" w:space="0"/>
              <w:right w:val="single" w:color="auto" w:sz="4" w:space="0"/>
            </w:tcBorders>
            <w:shd w:val="clear" w:color="auto" w:fill="auto"/>
            <w:vAlign w:val="center"/>
          </w:tcPr>
          <w:p>
            <w:pPr>
              <w:rPr>
                <w:rFonts w:hint="default" w:ascii="Times New Roman" w:hAnsi="Times New Roman" w:eastAsia="仿宋_GB2312" w:cs="Times New Roman"/>
                <w:color w:val="auto"/>
                <w:kern w:val="0"/>
                <w:szCs w:val="21"/>
              </w:rPr>
            </w:pPr>
            <w:r>
              <w:rPr>
                <w:rFonts w:hint="default" w:ascii="Times New Roman" w:hAnsi="Times New Roman" w:cs="Times New Roman"/>
                <w:color w:val="auto"/>
              </w:rPr>
              <w:t>　广播</w:t>
            </w:r>
          </w:p>
        </w:tc>
        <w:tc>
          <w:tcPr>
            <w:tcW w:w="3017"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333.31</w:t>
            </w:r>
          </w:p>
        </w:tc>
        <w:tc>
          <w:tcPr>
            <w:tcW w:w="3511"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333.31</w:t>
            </w:r>
          </w:p>
        </w:tc>
        <w:tc>
          <w:tcPr>
            <w:tcW w:w="3018" w:type="dxa"/>
            <w:tcBorders>
              <w:top w:val="nil"/>
              <w:left w:val="nil"/>
              <w:bottom w:val="single" w:color="auto" w:sz="4" w:space="0"/>
              <w:right w:val="single" w:color="auto" w:sz="8"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0.00</w:t>
            </w:r>
          </w:p>
        </w:tc>
      </w:tr>
      <w:tr>
        <w:tblPrEx>
          <w:tblCellMar>
            <w:top w:w="0" w:type="dxa"/>
            <w:left w:w="108" w:type="dxa"/>
            <w:bottom w:w="0" w:type="dxa"/>
            <w:right w:w="108" w:type="dxa"/>
          </w:tblCellMar>
        </w:tblPrEx>
        <w:trPr>
          <w:trHeight w:val="623" w:hRule="atLeast"/>
          <w:jc w:val="center"/>
        </w:trPr>
        <w:tc>
          <w:tcPr>
            <w:tcW w:w="1121" w:type="dxa"/>
            <w:tcBorders>
              <w:top w:val="single" w:color="auto" w:sz="4" w:space="0"/>
              <w:left w:val="single" w:color="auto" w:sz="8" w:space="0"/>
              <w:bottom w:val="single" w:color="auto" w:sz="4" w:space="0"/>
              <w:right w:val="single" w:color="auto" w:sz="4" w:space="0"/>
            </w:tcBorders>
            <w:shd w:val="clear" w:color="auto" w:fill="auto"/>
            <w:vAlign w:val="center"/>
          </w:tcPr>
          <w:p>
            <w:pPr>
              <w:rPr>
                <w:rFonts w:hint="default" w:ascii="Times New Roman" w:hAnsi="Times New Roman" w:eastAsia="仿宋_GB2312" w:cs="Times New Roman"/>
                <w:color w:val="auto"/>
                <w:kern w:val="0"/>
                <w:szCs w:val="21"/>
              </w:rPr>
            </w:pPr>
            <w:r>
              <w:rPr>
                <w:rFonts w:hint="default" w:ascii="Times New Roman" w:hAnsi="Times New Roman" w:cs="Times New Roman"/>
                <w:color w:val="auto"/>
              </w:rPr>
              <w:t>　2070899</w:t>
            </w:r>
          </w:p>
        </w:tc>
        <w:tc>
          <w:tcPr>
            <w:tcW w:w="3632" w:type="dxa"/>
            <w:gridSpan w:val="2"/>
            <w:tcBorders>
              <w:top w:val="nil"/>
              <w:left w:val="nil"/>
              <w:bottom w:val="single" w:color="auto" w:sz="4" w:space="0"/>
              <w:right w:val="single" w:color="auto" w:sz="4" w:space="0"/>
            </w:tcBorders>
            <w:shd w:val="clear" w:color="auto" w:fill="auto"/>
            <w:vAlign w:val="center"/>
          </w:tcPr>
          <w:p>
            <w:pPr>
              <w:rPr>
                <w:rFonts w:hint="default" w:ascii="Times New Roman" w:hAnsi="Times New Roman" w:eastAsia="仿宋_GB2312" w:cs="Times New Roman"/>
                <w:color w:val="auto"/>
                <w:kern w:val="0"/>
                <w:szCs w:val="21"/>
              </w:rPr>
            </w:pPr>
            <w:r>
              <w:rPr>
                <w:rFonts w:hint="default" w:ascii="Times New Roman" w:hAnsi="Times New Roman" w:cs="Times New Roman"/>
                <w:color w:val="auto"/>
              </w:rPr>
              <w:t>　  其他广播电视支出</w:t>
            </w:r>
          </w:p>
        </w:tc>
        <w:tc>
          <w:tcPr>
            <w:tcW w:w="3017"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10.95</w:t>
            </w:r>
          </w:p>
        </w:tc>
        <w:tc>
          <w:tcPr>
            <w:tcW w:w="3511"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宋体" w:cs="Times New Roman"/>
                <w:color w:val="auto"/>
                <w:kern w:val="0"/>
                <w:sz w:val="22"/>
              </w:rPr>
              <w:t>0.00</w:t>
            </w:r>
          </w:p>
        </w:tc>
        <w:tc>
          <w:tcPr>
            <w:tcW w:w="3018" w:type="dxa"/>
            <w:tcBorders>
              <w:top w:val="nil"/>
              <w:left w:val="nil"/>
              <w:bottom w:val="single" w:color="auto" w:sz="4" w:space="0"/>
              <w:right w:val="single" w:color="auto" w:sz="8"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10.95</w:t>
            </w:r>
          </w:p>
        </w:tc>
      </w:tr>
      <w:tr>
        <w:tblPrEx>
          <w:tblCellMar>
            <w:top w:w="0" w:type="dxa"/>
            <w:left w:w="108" w:type="dxa"/>
            <w:bottom w:w="0" w:type="dxa"/>
            <w:right w:w="108" w:type="dxa"/>
          </w:tblCellMar>
        </w:tblPrEx>
        <w:trPr>
          <w:trHeight w:val="452" w:hRule="atLeast"/>
          <w:jc w:val="center"/>
        </w:trPr>
        <w:tc>
          <w:tcPr>
            <w:tcW w:w="1121" w:type="dxa"/>
            <w:tcBorders>
              <w:top w:val="single" w:color="auto" w:sz="4" w:space="0"/>
              <w:left w:val="single" w:color="auto" w:sz="8" w:space="0"/>
              <w:bottom w:val="single" w:color="auto" w:sz="4" w:space="0"/>
              <w:right w:val="single" w:color="auto" w:sz="4" w:space="0"/>
            </w:tcBorders>
            <w:shd w:val="clear" w:color="auto" w:fill="auto"/>
            <w:vAlign w:val="center"/>
          </w:tcPr>
          <w:p>
            <w:pPr>
              <w:rPr>
                <w:rFonts w:hint="default" w:ascii="Times New Roman" w:hAnsi="Times New Roman" w:eastAsia="仿宋_GB2312" w:cs="Times New Roman"/>
                <w:color w:val="auto"/>
                <w:kern w:val="0"/>
                <w:szCs w:val="21"/>
              </w:rPr>
            </w:pPr>
            <w:r>
              <w:rPr>
                <w:rFonts w:hint="default" w:ascii="Times New Roman" w:hAnsi="Times New Roman" w:cs="Times New Roman"/>
                <w:color w:val="auto"/>
              </w:rPr>
              <w:t>208</w:t>
            </w:r>
          </w:p>
        </w:tc>
        <w:tc>
          <w:tcPr>
            <w:tcW w:w="3632" w:type="dxa"/>
            <w:gridSpan w:val="2"/>
            <w:tcBorders>
              <w:top w:val="nil"/>
              <w:left w:val="nil"/>
              <w:bottom w:val="single" w:color="auto" w:sz="4" w:space="0"/>
              <w:right w:val="single" w:color="auto" w:sz="4" w:space="0"/>
            </w:tcBorders>
            <w:shd w:val="clear" w:color="auto" w:fill="auto"/>
            <w:vAlign w:val="center"/>
          </w:tcPr>
          <w:p>
            <w:pPr>
              <w:rPr>
                <w:rFonts w:hint="default" w:ascii="Times New Roman" w:hAnsi="Times New Roman" w:eastAsia="仿宋_GB2312" w:cs="Times New Roman"/>
                <w:color w:val="auto"/>
                <w:kern w:val="0"/>
                <w:szCs w:val="21"/>
              </w:rPr>
            </w:pPr>
            <w:r>
              <w:rPr>
                <w:rFonts w:hint="default" w:ascii="Times New Roman" w:hAnsi="Times New Roman" w:cs="Times New Roman"/>
                <w:color w:val="auto"/>
              </w:rPr>
              <w:t>社会保障和就业支出</w:t>
            </w:r>
          </w:p>
        </w:tc>
        <w:tc>
          <w:tcPr>
            <w:tcW w:w="3017"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46.5</w:t>
            </w:r>
            <w:r>
              <w:rPr>
                <w:rFonts w:hint="default" w:ascii="Times New Roman" w:hAnsi="Times New Roman" w:eastAsia="仿宋_GB2312" w:cs="Times New Roman"/>
                <w:color w:val="auto"/>
                <w:kern w:val="0"/>
                <w:szCs w:val="21"/>
              </w:rPr>
              <w:t>0</w:t>
            </w:r>
          </w:p>
        </w:tc>
        <w:tc>
          <w:tcPr>
            <w:tcW w:w="3511"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46.5</w:t>
            </w:r>
            <w:r>
              <w:rPr>
                <w:rFonts w:hint="default" w:ascii="Times New Roman" w:hAnsi="Times New Roman" w:eastAsia="仿宋_GB2312" w:cs="Times New Roman"/>
                <w:color w:val="auto"/>
                <w:kern w:val="0"/>
                <w:szCs w:val="21"/>
              </w:rPr>
              <w:t>0</w:t>
            </w:r>
          </w:p>
        </w:tc>
        <w:tc>
          <w:tcPr>
            <w:tcW w:w="3018" w:type="dxa"/>
            <w:tcBorders>
              <w:top w:val="nil"/>
              <w:left w:val="nil"/>
              <w:bottom w:val="single" w:color="auto" w:sz="4" w:space="0"/>
              <w:right w:val="single" w:color="auto" w:sz="8"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0.00</w:t>
            </w:r>
          </w:p>
        </w:tc>
      </w:tr>
      <w:tr>
        <w:tblPrEx>
          <w:tblCellMar>
            <w:top w:w="0" w:type="dxa"/>
            <w:left w:w="108" w:type="dxa"/>
            <w:bottom w:w="0" w:type="dxa"/>
            <w:right w:w="108" w:type="dxa"/>
          </w:tblCellMar>
        </w:tblPrEx>
        <w:trPr>
          <w:trHeight w:val="452" w:hRule="atLeast"/>
          <w:jc w:val="center"/>
        </w:trPr>
        <w:tc>
          <w:tcPr>
            <w:tcW w:w="1121" w:type="dxa"/>
            <w:tcBorders>
              <w:top w:val="single" w:color="auto" w:sz="4" w:space="0"/>
              <w:left w:val="single" w:color="auto" w:sz="8" w:space="0"/>
              <w:bottom w:val="single" w:color="auto" w:sz="4" w:space="0"/>
              <w:right w:val="single" w:color="auto" w:sz="4" w:space="0"/>
            </w:tcBorders>
            <w:shd w:val="clear" w:color="auto" w:fill="auto"/>
            <w:vAlign w:val="center"/>
          </w:tcPr>
          <w:p>
            <w:pPr>
              <w:rPr>
                <w:rFonts w:hint="default" w:ascii="Times New Roman" w:hAnsi="Times New Roman" w:eastAsia="仿宋_GB2312" w:cs="Times New Roman"/>
                <w:color w:val="auto"/>
                <w:kern w:val="0"/>
                <w:szCs w:val="21"/>
              </w:rPr>
            </w:pPr>
            <w:r>
              <w:rPr>
                <w:rFonts w:hint="default" w:ascii="Times New Roman" w:hAnsi="Times New Roman" w:cs="Times New Roman"/>
                <w:color w:val="auto"/>
              </w:rPr>
              <w:t>20805</w:t>
            </w:r>
          </w:p>
        </w:tc>
        <w:tc>
          <w:tcPr>
            <w:tcW w:w="3632" w:type="dxa"/>
            <w:gridSpan w:val="2"/>
            <w:tcBorders>
              <w:top w:val="nil"/>
              <w:left w:val="nil"/>
              <w:bottom w:val="single" w:color="auto" w:sz="4" w:space="0"/>
              <w:right w:val="single" w:color="auto" w:sz="4" w:space="0"/>
            </w:tcBorders>
            <w:shd w:val="clear" w:color="auto" w:fill="auto"/>
            <w:vAlign w:val="center"/>
          </w:tcPr>
          <w:p>
            <w:pPr>
              <w:rPr>
                <w:rFonts w:hint="default" w:ascii="Times New Roman" w:hAnsi="Times New Roman" w:eastAsia="仿宋_GB2312" w:cs="Times New Roman"/>
                <w:color w:val="auto"/>
                <w:kern w:val="0"/>
                <w:szCs w:val="21"/>
              </w:rPr>
            </w:pPr>
            <w:r>
              <w:rPr>
                <w:rFonts w:hint="default" w:ascii="Times New Roman" w:hAnsi="Times New Roman" w:cs="Times New Roman"/>
                <w:color w:val="auto"/>
              </w:rPr>
              <w:t>行政事业单位养老支出</w:t>
            </w:r>
          </w:p>
        </w:tc>
        <w:tc>
          <w:tcPr>
            <w:tcW w:w="3017"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46.5</w:t>
            </w:r>
            <w:r>
              <w:rPr>
                <w:rFonts w:hint="default" w:ascii="Times New Roman" w:hAnsi="Times New Roman" w:eastAsia="仿宋_GB2312" w:cs="Times New Roman"/>
                <w:color w:val="auto"/>
                <w:kern w:val="0"/>
                <w:szCs w:val="21"/>
              </w:rPr>
              <w:t>0</w:t>
            </w:r>
          </w:p>
        </w:tc>
        <w:tc>
          <w:tcPr>
            <w:tcW w:w="3511"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46.5</w:t>
            </w:r>
            <w:r>
              <w:rPr>
                <w:rFonts w:hint="default" w:ascii="Times New Roman" w:hAnsi="Times New Roman" w:eastAsia="仿宋_GB2312" w:cs="Times New Roman"/>
                <w:color w:val="auto"/>
                <w:kern w:val="0"/>
                <w:szCs w:val="21"/>
              </w:rPr>
              <w:t>0</w:t>
            </w:r>
          </w:p>
        </w:tc>
        <w:tc>
          <w:tcPr>
            <w:tcW w:w="3018" w:type="dxa"/>
            <w:tcBorders>
              <w:top w:val="nil"/>
              <w:left w:val="nil"/>
              <w:bottom w:val="single" w:color="auto" w:sz="4" w:space="0"/>
              <w:right w:val="single" w:color="auto" w:sz="8"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0.00</w:t>
            </w:r>
          </w:p>
        </w:tc>
      </w:tr>
      <w:tr>
        <w:tblPrEx>
          <w:tblCellMar>
            <w:top w:w="0" w:type="dxa"/>
            <w:left w:w="108" w:type="dxa"/>
            <w:bottom w:w="0" w:type="dxa"/>
            <w:right w:w="108" w:type="dxa"/>
          </w:tblCellMar>
        </w:tblPrEx>
        <w:trPr>
          <w:trHeight w:val="623" w:hRule="atLeast"/>
          <w:jc w:val="center"/>
        </w:trPr>
        <w:tc>
          <w:tcPr>
            <w:tcW w:w="1121" w:type="dxa"/>
            <w:tcBorders>
              <w:top w:val="single" w:color="auto" w:sz="4" w:space="0"/>
              <w:left w:val="single" w:color="auto" w:sz="8" w:space="0"/>
              <w:bottom w:val="single" w:color="auto" w:sz="4" w:space="0"/>
              <w:right w:val="single" w:color="auto" w:sz="4" w:space="0"/>
            </w:tcBorders>
            <w:shd w:val="clear" w:color="auto" w:fill="auto"/>
            <w:vAlign w:val="center"/>
          </w:tcPr>
          <w:p>
            <w:pPr>
              <w:rPr>
                <w:rFonts w:hint="default" w:ascii="Times New Roman" w:hAnsi="Times New Roman" w:eastAsia="仿宋_GB2312" w:cs="Times New Roman"/>
                <w:color w:val="auto"/>
                <w:kern w:val="0"/>
                <w:szCs w:val="21"/>
              </w:rPr>
            </w:pPr>
            <w:r>
              <w:rPr>
                <w:rFonts w:hint="default" w:ascii="Times New Roman" w:hAnsi="Times New Roman" w:cs="Times New Roman"/>
                <w:color w:val="auto"/>
              </w:rPr>
              <w:t>2080505</w:t>
            </w:r>
          </w:p>
        </w:tc>
        <w:tc>
          <w:tcPr>
            <w:tcW w:w="3632" w:type="dxa"/>
            <w:gridSpan w:val="2"/>
            <w:tcBorders>
              <w:top w:val="nil"/>
              <w:left w:val="nil"/>
              <w:bottom w:val="single" w:color="auto" w:sz="4" w:space="0"/>
              <w:right w:val="single" w:color="auto" w:sz="4" w:space="0"/>
            </w:tcBorders>
            <w:shd w:val="clear" w:color="auto" w:fill="auto"/>
            <w:vAlign w:val="center"/>
          </w:tcPr>
          <w:p>
            <w:pPr>
              <w:rPr>
                <w:rFonts w:hint="default" w:ascii="Times New Roman" w:hAnsi="Times New Roman" w:eastAsia="仿宋_GB2312" w:cs="Times New Roman"/>
                <w:color w:val="auto"/>
                <w:kern w:val="0"/>
                <w:szCs w:val="21"/>
              </w:rPr>
            </w:pPr>
            <w:r>
              <w:rPr>
                <w:rFonts w:hint="default" w:ascii="Times New Roman" w:hAnsi="Times New Roman" w:cs="Times New Roman"/>
                <w:color w:val="auto"/>
              </w:rPr>
              <w:t xml:space="preserve"> 机关事业单位基本养老保险缴费支出</w:t>
            </w:r>
          </w:p>
        </w:tc>
        <w:tc>
          <w:tcPr>
            <w:tcW w:w="3017"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40</w:t>
            </w:r>
            <w:r>
              <w:rPr>
                <w:rFonts w:hint="default" w:ascii="Times New Roman" w:hAnsi="Times New Roman" w:eastAsia="仿宋_GB2312" w:cs="Times New Roman"/>
                <w:color w:val="auto"/>
                <w:kern w:val="0"/>
                <w:szCs w:val="21"/>
              </w:rPr>
              <w:t>.00</w:t>
            </w:r>
          </w:p>
        </w:tc>
        <w:tc>
          <w:tcPr>
            <w:tcW w:w="3511"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40</w:t>
            </w:r>
            <w:r>
              <w:rPr>
                <w:rFonts w:hint="default" w:ascii="Times New Roman" w:hAnsi="Times New Roman" w:eastAsia="仿宋_GB2312" w:cs="Times New Roman"/>
                <w:color w:val="auto"/>
                <w:kern w:val="0"/>
                <w:szCs w:val="21"/>
              </w:rPr>
              <w:t>.00</w:t>
            </w:r>
          </w:p>
        </w:tc>
        <w:tc>
          <w:tcPr>
            <w:tcW w:w="3018" w:type="dxa"/>
            <w:tcBorders>
              <w:top w:val="nil"/>
              <w:left w:val="nil"/>
              <w:bottom w:val="single" w:color="auto" w:sz="4" w:space="0"/>
              <w:right w:val="single" w:color="auto" w:sz="8" w:space="0"/>
            </w:tcBorders>
            <w:shd w:val="clear" w:color="auto" w:fill="auto"/>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r>
      <w:tr>
        <w:tblPrEx>
          <w:tblCellMar>
            <w:top w:w="0" w:type="dxa"/>
            <w:left w:w="108" w:type="dxa"/>
            <w:bottom w:w="0" w:type="dxa"/>
            <w:right w:w="108" w:type="dxa"/>
          </w:tblCellMar>
        </w:tblPrEx>
        <w:trPr>
          <w:trHeight w:val="452" w:hRule="atLeast"/>
          <w:jc w:val="center"/>
        </w:trPr>
        <w:tc>
          <w:tcPr>
            <w:tcW w:w="1121" w:type="dxa"/>
            <w:tcBorders>
              <w:top w:val="single" w:color="auto" w:sz="4" w:space="0"/>
              <w:left w:val="single" w:color="auto" w:sz="8" w:space="0"/>
              <w:bottom w:val="single" w:color="auto" w:sz="4" w:space="0"/>
              <w:right w:val="single" w:color="auto" w:sz="4" w:space="0"/>
            </w:tcBorders>
            <w:shd w:val="clear" w:color="auto" w:fill="auto"/>
            <w:vAlign w:val="center"/>
          </w:tcPr>
          <w:p>
            <w:pPr>
              <w:rPr>
                <w:rFonts w:hint="default" w:ascii="Times New Roman" w:hAnsi="Times New Roman" w:eastAsia="仿宋_GB2312" w:cs="Times New Roman"/>
                <w:color w:val="auto"/>
                <w:kern w:val="0"/>
                <w:szCs w:val="21"/>
              </w:rPr>
            </w:pPr>
            <w:r>
              <w:rPr>
                <w:rFonts w:hint="default" w:ascii="Times New Roman" w:hAnsi="Times New Roman" w:cs="Times New Roman"/>
                <w:color w:val="auto"/>
              </w:rPr>
              <w:t>2080506</w:t>
            </w:r>
          </w:p>
        </w:tc>
        <w:tc>
          <w:tcPr>
            <w:tcW w:w="3632" w:type="dxa"/>
            <w:gridSpan w:val="2"/>
            <w:tcBorders>
              <w:top w:val="nil"/>
              <w:left w:val="nil"/>
              <w:bottom w:val="single" w:color="auto" w:sz="4" w:space="0"/>
              <w:right w:val="single" w:color="auto" w:sz="4" w:space="0"/>
            </w:tcBorders>
            <w:shd w:val="clear" w:color="auto" w:fill="auto"/>
            <w:vAlign w:val="center"/>
          </w:tcPr>
          <w:p>
            <w:pPr>
              <w:rPr>
                <w:rFonts w:hint="default" w:ascii="Times New Roman" w:hAnsi="Times New Roman" w:eastAsia="仿宋_GB2312" w:cs="Times New Roman"/>
                <w:color w:val="auto"/>
                <w:kern w:val="0"/>
                <w:szCs w:val="21"/>
              </w:rPr>
            </w:pPr>
            <w:r>
              <w:rPr>
                <w:rFonts w:hint="default" w:ascii="Times New Roman" w:hAnsi="Times New Roman" w:cs="Times New Roman"/>
                <w:color w:val="auto"/>
              </w:rPr>
              <w:t>机关事业单位职业年金缴费支出</w:t>
            </w:r>
          </w:p>
        </w:tc>
        <w:tc>
          <w:tcPr>
            <w:tcW w:w="3017"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6.5</w:t>
            </w:r>
            <w:r>
              <w:rPr>
                <w:rFonts w:hint="default" w:ascii="Times New Roman" w:hAnsi="Times New Roman" w:eastAsia="仿宋_GB2312" w:cs="Times New Roman"/>
                <w:color w:val="auto"/>
                <w:kern w:val="0"/>
                <w:szCs w:val="21"/>
              </w:rPr>
              <w:t>0</w:t>
            </w:r>
          </w:p>
        </w:tc>
        <w:tc>
          <w:tcPr>
            <w:tcW w:w="3511"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6.5</w:t>
            </w:r>
            <w:r>
              <w:rPr>
                <w:rFonts w:hint="default" w:ascii="Times New Roman" w:hAnsi="Times New Roman" w:eastAsia="仿宋_GB2312" w:cs="Times New Roman"/>
                <w:color w:val="auto"/>
                <w:kern w:val="0"/>
                <w:szCs w:val="21"/>
              </w:rPr>
              <w:t>0</w:t>
            </w:r>
          </w:p>
        </w:tc>
        <w:tc>
          <w:tcPr>
            <w:tcW w:w="3018" w:type="dxa"/>
            <w:tcBorders>
              <w:top w:val="nil"/>
              <w:left w:val="nil"/>
              <w:bottom w:val="single" w:color="auto" w:sz="4" w:space="0"/>
              <w:right w:val="single" w:color="auto" w:sz="8" w:space="0"/>
            </w:tcBorders>
            <w:shd w:val="clear" w:color="auto" w:fill="auto"/>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r>
      <w:tr>
        <w:tblPrEx>
          <w:tblCellMar>
            <w:top w:w="0" w:type="dxa"/>
            <w:left w:w="108" w:type="dxa"/>
            <w:bottom w:w="0" w:type="dxa"/>
            <w:right w:w="108" w:type="dxa"/>
          </w:tblCellMar>
        </w:tblPrEx>
        <w:trPr>
          <w:trHeight w:val="452" w:hRule="atLeast"/>
          <w:jc w:val="center"/>
        </w:trPr>
        <w:tc>
          <w:tcPr>
            <w:tcW w:w="1121" w:type="dxa"/>
            <w:tcBorders>
              <w:top w:val="single" w:color="auto" w:sz="4" w:space="0"/>
              <w:left w:val="single" w:color="auto" w:sz="8" w:space="0"/>
              <w:bottom w:val="single" w:color="auto" w:sz="4" w:space="0"/>
              <w:right w:val="single" w:color="auto" w:sz="4" w:space="0"/>
            </w:tcBorders>
            <w:shd w:val="clear" w:color="auto" w:fill="auto"/>
            <w:vAlign w:val="center"/>
          </w:tcPr>
          <w:p>
            <w:pPr>
              <w:rPr>
                <w:rFonts w:hint="default" w:ascii="Times New Roman" w:hAnsi="Times New Roman" w:eastAsia="仿宋_GB2312" w:cs="Times New Roman"/>
                <w:color w:val="auto"/>
                <w:kern w:val="0"/>
                <w:szCs w:val="21"/>
              </w:rPr>
            </w:pPr>
            <w:r>
              <w:rPr>
                <w:rFonts w:hint="default" w:ascii="Times New Roman" w:hAnsi="Times New Roman" w:cs="Times New Roman"/>
                <w:color w:val="auto"/>
              </w:rPr>
              <w:t>221</w:t>
            </w:r>
          </w:p>
        </w:tc>
        <w:tc>
          <w:tcPr>
            <w:tcW w:w="3632" w:type="dxa"/>
            <w:gridSpan w:val="2"/>
            <w:tcBorders>
              <w:top w:val="nil"/>
              <w:left w:val="nil"/>
              <w:bottom w:val="single" w:color="auto" w:sz="4" w:space="0"/>
              <w:right w:val="single" w:color="auto" w:sz="4" w:space="0"/>
            </w:tcBorders>
            <w:shd w:val="clear" w:color="auto" w:fill="auto"/>
            <w:vAlign w:val="center"/>
          </w:tcPr>
          <w:p>
            <w:pPr>
              <w:rPr>
                <w:rFonts w:hint="default" w:ascii="Times New Roman" w:hAnsi="Times New Roman" w:eastAsia="仿宋_GB2312" w:cs="Times New Roman"/>
                <w:color w:val="auto"/>
                <w:kern w:val="0"/>
                <w:szCs w:val="21"/>
              </w:rPr>
            </w:pPr>
            <w:r>
              <w:rPr>
                <w:rFonts w:hint="default" w:ascii="Times New Roman" w:hAnsi="Times New Roman" w:cs="Times New Roman"/>
                <w:color w:val="auto"/>
              </w:rPr>
              <w:t>住房保障支出</w:t>
            </w:r>
          </w:p>
        </w:tc>
        <w:tc>
          <w:tcPr>
            <w:tcW w:w="3017"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25</w:t>
            </w:r>
            <w:r>
              <w:rPr>
                <w:rFonts w:hint="default" w:ascii="Times New Roman" w:hAnsi="Times New Roman" w:eastAsia="仿宋_GB2312" w:cs="Times New Roman"/>
                <w:color w:val="auto"/>
                <w:kern w:val="0"/>
                <w:szCs w:val="21"/>
              </w:rPr>
              <w:t>.00</w:t>
            </w:r>
          </w:p>
        </w:tc>
        <w:tc>
          <w:tcPr>
            <w:tcW w:w="3511"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25</w:t>
            </w:r>
            <w:r>
              <w:rPr>
                <w:rFonts w:hint="default" w:ascii="Times New Roman" w:hAnsi="Times New Roman" w:eastAsia="仿宋_GB2312" w:cs="Times New Roman"/>
                <w:color w:val="auto"/>
                <w:kern w:val="0"/>
                <w:szCs w:val="21"/>
              </w:rPr>
              <w:t>.00</w:t>
            </w:r>
          </w:p>
        </w:tc>
        <w:tc>
          <w:tcPr>
            <w:tcW w:w="3018" w:type="dxa"/>
            <w:tcBorders>
              <w:top w:val="nil"/>
              <w:left w:val="nil"/>
              <w:bottom w:val="single" w:color="auto" w:sz="4" w:space="0"/>
              <w:right w:val="single" w:color="auto" w:sz="8" w:space="0"/>
            </w:tcBorders>
            <w:shd w:val="clear" w:color="auto" w:fill="auto"/>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r>
      <w:tr>
        <w:tblPrEx>
          <w:tblCellMar>
            <w:top w:w="0" w:type="dxa"/>
            <w:left w:w="108" w:type="dxa"/>
            <w:bottom w:w="0" w:type="dxa"/>
            <w:right w:w="108" w:type="dxa"/>
          </w:tblCellMar>
        </w:tblPrEx>
        <w:trPr>
          <w:trHeight w:val="452" w:hRule="atLeast"/>
          <w:jc w:val="center"/>
        </w:trPr>
        <w:tc>
          <w:tcPr>
            <w:tcW w:w="1121" w:type="dxa"/>
            <w:tcBorders>
              <w:top w:val="single" w:color="auto" w:sz="4" w:space="0"/>
              <w:left w:val="single" w:color="auto" w:sz="8" w:space="0"/>
              <w:bottom w:val="single" w:color="auto" w:sz="4" w:space="0"/>
              <w:right w:val="single" w:color="auto" w:sz="4" w:space="0"/>
            </w:tcBorders>
            <w:shd w:val="clear" w:color="auto" w:fill="auto"/>
            <w:vAlign w:val="center"/>
          </w:tcPr>
          <w:p>
            <w:pPr>
              <w:rPr>
                <w:rFonts w:hint="default" w:ascii="Times New Roman" w:hAnsi="Times New Roman" w:eastAsia="仿宋_GB2312" w:cs="Times New Roman"/>
                <w:color w:val="auto"/>
                <w:kern w:val="0"/>
                <w:szCs w:val="21"/>
              </w:rPr>
            </w:pPr>
            <w:r>
              <w:rPr>
                <w:rFonts w:hint="default" w:ascii="Times New Roman" w:hAnsi="Times New Roman" w:cs="Times New Roman"/>
                <w:color w:val="auto"/>
              </w:rPr>
              <w:t>　22102</w:t>
            </w:r>
          </w:p>
        </w:tc>
        <w:tc>
          <w:tcPr>
            <w:tcW w:w="3632" w:type="dxa"/>
            <w:gridSpan w:val="2"/>
            <w:tcBorders>
              <w:top w:val="nil"/>
              <w:left w:val="nil"/>
              <w:bottom w:val="single" w:color="auto" w:sz="4" w:space="0"/>
              <w:right w:val="single" w:color="auto" w:sz="4" w:space="0"/>
            </w:tcBorders>
            <w:shd w:val="clear" w:color="auto" w:fill="auto"/>
            <w:vAlign w:val="center"/>
          </w:tcPr>
          <w:p>
            <w:pPr>
              <w:rPr>
                <w:rFonts w:hint="default" w:ascii="Times New Roman" w:hAnsi="Times New Roman" w:eastAsia="仿宋_GB2312" w:cs="Times New Roman"/>
                <w:color w:val="auto"/>
                <w:kern w:val="0"/>
                <w:szCs w:val="21"/>
              </w:rPr>
            </w:pPr>
            <w:r>
              <w:rPr>
                <w:rFonts w:hint="default" w:ascii="Times New Roman" w:hAnsi="Times New Roman" w:cs="Times New Roman"/>
                <w:color w:val="auto"/>
              </w:rPr>
              <w:t>　住房改革支出</w:t>
            </w:r>
          </w:p>
        </w:tc>
        <w:tc>
          <w:tcPr>
            <w:tcW w:w="3017"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25</w:t>
            </w:r>
            <w:r>
              <w:rPr>
                <w:rFonts w:hint="default" w:ascii="Times New Roman" w:hAnsi="Times New Roman" w:eastAsia="仿宋_GB2312" w:cs="Times New Roman"/>
                <w:color w:val="auto"/>
                <w:kern w:val="0"/>
                <w:szCs w:val="21"/>
              </w:rPr>
              <w:t>.00</w:t>
            </w:r>
          </w:p>
        </w:tc>
        <w:tc>
          <w:tcPr>
            <w:tcW w:w="3511"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25</w:t>
            </w:r>
            <w:r>
              <w:rPr>
                <w:rFonts w:hint="default" w:ascii="Times New Roman" w:hAnsi="Times New Roman" w:eastAsia="仿宋_GB2312" w:cs="Times New Roman"/>
                <w:color w:val="auto"/>
                <w:kern w:val="0"/>
                <w:szCs w:val="21"/>
              </w:rPr>
              <w:t>.00</w:t>
            </w:r>
          </w:p>
        </w:tc>
        <w:tc>
          <w:tcPr>
            <w:tcW w:w="3018" w:type="dxa"/>
            <w:tcBorders>
              <w:top w:val="nil"/>
              <w:left w:val="nil"/>
              <w:bottom w:val="single" w:color="auto" w:sz="4" w:space="0"/>
              <w:right w:val="single" w:color="auto" w:sz="8" w:space="0"/>
            </w:tcBorders>
            <w:shd w:val="clear" w:color="auto" w:fill="auto"/>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 w:val="22"/>
              </w:rPr>
              <w:t>0.00</w:t>
            </w:r>
          </w:p>
        </w:tc>
      </w:tr>
      <w:tr>
        <w:tblPrEx>
          <w:tblCellMar>
            <w:top w:w="0" w:type="dxa"/>
            <w:left w:w="108" w:type="dxa"/>
            <w:bottom w:w="0" w:type="dxa"/>
            <w:right w:w="108" w:type="dxa"/>
          </w:tblCellMar>
        </w:tblPrEx>
        <w:trPr>
          <w:trHeight w:val="623" w:hRule="atLeast"/>
          <w:jc w:val="center"/>
        </w:trPr>
        <w:tc>
          <w:tcPr>
            <w:tcW w:w="1121" w:type="dxa"/>
            <w:tcBorders>
              <w:top w:val="single" w:color="auto" w:sz="4" w:space="0"/>
              <w:left w:val="single" w:color="auto" w:sz="8" w:space="0"/>
              <w:bottom w:val="single" w:color="auto" w:sz="8" w:space="0"/>
              <w:right w:val="single" w:color="auto" w:sz="4" w:space="0"/>
            </w:tcBorders>
            <w:shd w:val="clear" w:color="auto" w:fill="auto"/>
            <w:vAlign w:val="center"/>
          </w:tcPr>
          <w:p>
            <w:pPr>
              <w:rPr>
                <w:rFonts w:hint="default" w:ascii="Times New Roman" w:hAnsi="Times New Roman" w:eastAsia="仿宋_GB2312" w:cs="Times New Roman"/>
                <w:color w:val="auto"/>
                <w:kern w:val="0"/>
                <w:szCs w:val="21"/>
              </w:rPr>
            </w:pPr>
            <w:r>
              <w:rPr>
                <w:rFonts w:hint="default" w:ascii="Times New Roman" w:hAnsi="Times New Roman" w:cs="Times New Roman"/>
                <w:color w:val="auto"/>
              </w:rPr>
              <w:t>　2210201</w:t>
            </w:r>
          </w:p>
        </w:tc>
        <w:tc>
          <w:tcPr>
            <w:tcW w:w="3632" w:type="dxa"/>
            <w:gridSpan w:val="2"/>
            <w:tcBorders>
              <w:top w:val="nil"/>
              <w:left w:val="nil"/>
              <w:bottom w:val="single" w:color="auto" w:sz="8" w:space="0"/>
              <w:right w:val="single" w:color="auto" w:sz="4" w:space="0"/>
            </w:tcBorders>
            <w:shd w:val="clear" w:color="auto" w:fill="auto"/>
            <w:vAlign w:val="center"/>
          </w:tcPr>
          <w:p>
            <w:pPr>
              <w:rPr>
                <w:rFonts w:hint="default" w:ascii="Times New Roman" w:hAnsi="Times New Roman" w:eastAsia="仿宋_GB2312" w:cs="Times New Roman"/>
                <w:color w:val="auto"/>
                <w:kern w:val="0"/>
                <w:szCs w:val="21"/>
              </w:rPr>
            </w:pPr>
            <w:r>
              <w:rPr>
                <w:rFonts w:hint="default" w:ascii="Times New Roman" w:hAnsi="Times New Roman" w:cs="Times New Roman"/>
                <w:color w:val="auto"/>
              </w:rPr>
              <w:t>　住房公积金</w:t>
            </w:r>
          </w:p>
        </w:tc>
        <w:tc>
          <w:tcPr>
            <w:tcW w:w="3017" w:type="dxa"/>
            <w:tcBorders>
              <w:top w:val="nil"/>
              <w:left w:val="nil"/>
              <w:bottom w:val="single" w:color="auto" w:sz="8"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25</w:t>
            </w:r>
            <w:r>
              <w:rPr>
                <w:rFonts w:hint="default" w:ascii="Times New Roman" w:hAnsi="Times New Roman" w:eastAsia="仿宋_GB2312" w:cs="Times New Roman"/>
                <w:color w:val="auto"/>
                <w:kern w:val="0"/>
                <w:szCs w:val="21"/>
              </w:rPr>
              <w:t>.00</w:t>
            </w:r>
          </w:p>
        </w:tc>
        <w:tc>
          <w:tcPr>
            <w:tcW w:w="3511" w:type="dxa"/>
            <w:tcBorders>
              <w:top w:val="nil"/>
              <w:left w:val="nil"/>
              <w:bottom w:val="single" w:color="auto" w:sz="8"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25</w:t>
            </w:r>
            <w:r>
              <w:rPr>
                <w:rFonts w:hint="default" w:ascii="Times New Roman" w:hAnsi="Times New Roman" w:eastAsia="仿宋_GB2312" w:cs="Times New Roman"/>
                <w:color w:val="auto"/>
                <w:kern w:val="0"/>
                <w:szCs w:val="21"/>
              </w:rPr>
              <w:t>.00</w:t>
            </w:r>
          </w:p>
        </w:tc>
        <w:tc>
          <w:tcPr>
            <w:tcW w:w="3018"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宋体" w:cs="Times New Roman"/>
                <w:color w:val="auto"/>
                <w:kern w:val="0"/>
                <w:sz w:val="22"/>
              </w:rPr>
              <w:t>0.00</w:t>
            </w:r>
          </w:p>
        </w:tc>
      </w:tr>
      <w:tr>
        <w:tblPrEx>
          <w:tblCellMar>
            <w:top w:w="0" w:type="dxa"/>
            <w:left w:w="108" w:type="dxa"/>
            <w:bottom w:w="0" w:type="dxa"/>
            <w:right w:w="108" w:type="dxa"/>
          </w:tblCellMar>
        </w:tblPrEx>
        <w:trPr>
          <w:trHeight w:val="653" w:hRule="atLeast"/>
          <w:jc w:val="center"/>
        </w:trPr>
        <w:tc>
          <w:tcPr>
            <w:tcW w:w="14299" w:type="dxa"/>
            <w:gridSpan w:val="6"/>
            <w:tcBorders>
              <w:top w:val="nil"/>
              <w:left w:val="nil"/>
              <w:bottom w:val="nil"/>
              <w:right w:val="nil"/>
            </w:tcBorders>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注：本表反映部门本年度一般公共预算财政拨款支出情况。</w:t>
            </w:r>
          </w:p>
        </w:tc>
      </w:tr>
    </w:tbl>
    <w:p>
      <w:pPr>
        <w:widowControl/>
        <w:jc w:val="left"/>
        <w:rPr>
          <w:rFonts w:hint="default" w:ascii="Times New Roman" w:hAnsi="Times New Roman" w:eastAsia="仿宋_GB2312" w:cs="Times New Roman"/>
          <w:bCs/>
          <w:color w:val="auto"/>
          <w:kern w:val="0"/>
          <w:szCs w:val="21"/>
        </w:rPr>
      </w:pPr>
      <w:r>
        <w:rPr>
          <w:rFonts w:hint="default" w:ascii="Times New Roman" w:hAnsi="Times New Roman" w:eastAsia="仿宋_GB2312" w:cs="Times New Roman"/>
          <w:bCs/>
          <w:color w:val="auto"/>
          <w:kern w:val="0"/>
          <w:szCs w:val="21"/>
        </w:rPr>
        <w:br w:type="page"/>
      </w:r>
    </w:p>
    <w:tbl>
      <w:tblPr>
        <w:tblStyle w:val="7"/>
        <w:tblW w:w="0" w:type="auto"/>
        <w:tblInd w:w="0" w:type="dxa"/>
        <w:tblLayout w:type="autofit"/>
        <w:tblCellMar>
          <w:top w:w="0" w:type="dxa"/>
          <w:left w:w="108" w:type="dxa"/>
          <w:bottom w:w="0" w:type="dxa"/>
          <w:right w:w="108" w:type="dxa"/>
        </w:tblCellMar>
      </w:tblPr>
      <w:tblGrid>
        <w:gridCol w:w="1339"/>
        <w:gridCol w:w="3366"/>
        <w:gridCol w:w="846"/>
        <w:gridCol w:w="916"/>
        <w:gridCol w:w="2316"/>
        <w:gridCol w:w="757"/>
        <w:gridCol w:w="917"/>
        <w:gridCol w:w="4206"/>
        <w:gridCol w:w="951"/>
      </w:tblGrid>
      <w:tr>
        <w:tblPrEx>
          <w:tblCellMar>
            <w:top w:w="0" w:type="dxa"/>
            <w:left w:w="108" w:type="dxa"/>
            <w:bottom w:w="0" w:type="dxa"/>
            <w:right w:w="108" w:type="dxa"/>
          </w:tblCellMar>
        </w:tblPrEx>
        <w:trPr>
          <w:trHeight w:val="113" w:hRule="atLeast"/>
        </w:trPr>
        <w:tc>
          <w:tcPr>
            <w:tcW w:w="0" w:type="auto"/>
            <w:gridSpan w:val="9"/>
            <w:tcBorders>
              <w:top w:val="nil"/>
              <w:left w:val="nil"/>
              <w:bottom w:val="nil"/>
              <w:right w:val="nil"/>
            </w:tcBorders>
            <w:shd w:val="clear" w:color="auto" w:fill="auto"/>
            <w:noWrap/>
            <w:vAlign w:val="center"/>
          </w:tcPr>
          <w:p>
            <w:pPr>
              <w:widowControl/>
              <w:jc w:val="center"/>
              <w:rPr>
                <w:rFonts w:hint="default" w:ascii="Times New Roman" w:hAnsi="Times New Roman" w:eastAsia="华文中宋" w:cs="Times New Roman"/>
                <w:color w:val="auto"/>
                <w:kern w:val="0"/>
                <w:szCs w:val="32"/>
              </w:rPr>
            </w:pPr>
            <w:bookmarkStart w:id="2" w:name="RANGE!A1:I34"/>
            <w:r>
              <w:rPr>
                <w:rFonts w:hint="default" w:ascii="Times New Roman" w:hAnsi="Times New Roman" w:eastAsia="华文中宋" w:cs="Times New Roman"/>
                <w:color w:val="auto"/>
                <w:kern w:val="0"/>
                <w:szCs w:val="32"/>
              </w:rPr>
              <w:t>一般公共预算财政拨款基本支出决算表</w:t>
            </w:r>
            <w:bookmarkEnd w:id="2"/>
          </w:p>
          <w:p>
            <w:pPr>
              <w:widowControl/>
              <w:wordWrap w:val="0"/>
              <w:jc w:val="righ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xml:space="preserve">  </w:t>
            </w:r>
            <w:r>
              <w:rPr>
                <w:rFonts w:hint="default" w:ascii="Times New Roman" w:hAnsi="Times New Roman" w:eastAsia="仿宋_GB2312" w:cs="Times New Roman"/>
                <w:color w:val="auto"/>
                <w:kern w:val="0"/>
                <w:szCs w:val="21"/>
              </w:rPr>
              <w:t>部门：</w:t>
            </w:r>
            <w:r>
              <w:rPr>
                <w:rFonts w:hint="default" w:ascii="Times New Roman" w:hAnsi="Times New Roman" w:eastAsia="宋体" w:cs="Times New Roman"/>
                <w:color w:val="auto"/>
                <w:kern w:val="0"/>
                <w:sz w:val="20"/>
                <w:szCs w:val="20"/>
              </w:rPr>
              <w:t>湖南省新闻出版广电局岳阳中波转播台</w:t>
            </w:r>
            <w:r>
              <w:rPr>
                <w:rFonts w:hint="default" w:ascii="Times New Roman" w:hAnsi="Times New Roman" w:eastAsia="仿宋_GB2312" w:cs="Times New Roman"/>
                <w:color w:val="auto"/>
                <w:kern w:val="0"/>
                <w:szCs w:val="21"/>
              </w:rPr>
              <w:t xml:space="preserve">                                                                                          </w:t>
            </w:r>
            <w:r>
              <w:rPr>
                <w:rFonts w:hint="default" w:ascii="Times New Roman" w:hAnsi="Times New Roman" w:eastAsia="仿宋_GB2312" w:cs="Times New Roman"/>
                <w:color w:val="auto"/>
                <w:kern w:val="0"/>
                <w:szCs w:val="21"/>
              </w:rPr>
              <w:t xml:space="preserve">  </w:t>
            </w:r>
            <w:r>
              <w:rPr>
                <w:rFonts w:hint="default" w:ascii="Times New Roman" w:hAnsi="Times New Roman" w:eastAsia="仿宋_GB2312" w:cs="Times New Roman"/>
                <w:color w:val="auto"/>
                <w:kern w:val="0"/>
                <w:szCs w:val="21"/>
              </w:rPr>
              <w:t>公开06表</w:t>
            </w:r>
          </w:p>
          <w:p>
            <w:pPr>
              <w:widowControl/>
              <w:jc w:val="right"/>
              <w:rPr>
                <w:rFonts w:hint="default" w:ascii="Times New Roman" w:hAnsi="Times New Roman" w:eastAsia="华文中宋" w:cs="Times New Roman"/>
                <w:color w:val="auto"/>
                <w:kern w:val="0"/>
                <w:szCs w:val="32"/>
              </w:rPr>
            </w:pPr>
            <w:r>
              <w:rPr>
                <w:rFonts w:hint="default" w:ascii="Times New Roman" w:hAnsi="Times New Roman" w:eastAsia="仿宋_GB2312" w:cs="Times New Roman"/>
                <w:color w:val="auto"/>
                <w:kern w:val="0"/>
                <w:szCs w:val="21"/>
              </w:rPr>
              <w:t>单位：万元</w:t>
            </w:r>
          </w:p>
        </w:tc>
      </w:tr>
      <w:tr>
        <w:tblPrEx>
          <w:tblCellMar>
            <w:top w:w="0" w:type="dxa"/>
            <w:left w:w="108" w:type="dxa"/>
            <w:bottom w:w="0" w:type="dxa"/>
            <w:right w:w="108" w:type="dxa"/>
          </w:tblCellMar>
        </w:tblPrEx>
        <w:trPr>
          <w:trHeight w:val="113" w:hRule="atLeast"/>
        </w:trPr>
        <w:tc>
          <w:tcPr>
            <w:tcW w:w="13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 w:val="20"/>
                <w:szCs w:val="20"/>
              </w:rPr>
              <w:t>经济分类科目编码</w:t>
            </w:r>
          </w:p>
        </w:tc>
        <w:tc>
          <w:tcPr>
            <w:tcW w:w="33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决算数</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工资福利支出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szCs w:val="21"/>
              </w:rPr>
              <w:t>283.59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商品和服务支出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rPr>
              <w:t>59.96</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307</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债务利息及费用支出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0.00</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30101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基本工资</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szCs w:val="21"/>
              </w:rPr>
              <w:t>74.36</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30201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办公费</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rPr>
              <w:t>7.98</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30701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国内债务付息</w:t>
            </w:r>
          </w:p>
        </w:tc>
        <w:tc>
          <w:tcPr>
            <w:tcW w:w="0" w:type="auto"/>
            <w:tcBorders>
              <w:top w:val="nil"/>
              <w:left w:val="nil"/>
              <w:bottom w:val="single" w:color="auto" w:sz="4" w:space="0"/>
              <w:right w:val="single" w:color="auto" w:sz="4" w:space="0"/>
            </w:tcBorders>
            <w:shd w:val="clear" w:color="auto" w:fill="auto"/>
            <w:noWrap/>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Cs w:val="20"/>
              </w:rPr>
              <w:t>0.00</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30102</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津贴补贴</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szCs w:val="21"/>
              </w:rPr>
              <w:t>7.39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30202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印刷费</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30702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国外债务付息</w:t>
            </w:r>
          </w:p>
        </w:tc>
        <w:tc>
          <w:tcPr>
            <w:tcW w:w="0" w:type="auto"/>
            <w:tcBorders>
              <w:top w:val="nil"/>
              <w:left w:val="nil"/>
              <w:bottom w:val="single" w:color="auto" w:sz="4" w:space="0"/>
              <w:right w:val="single" w:color="auto" w:sz="4" w:space="0"/>
            </w:tcBorders>
            <w:shd w:val="clear" w:color="auto" w:fill="auto"/>
            <w:noWrap/>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Cs w:val="20"/>
              </w:rPr>
              <w:t>0.00</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30103</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奖金</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szCs w:val="21"/>
              </w:rPr>
              <w:t>10.88</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30203</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咨询费</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310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资本性支出</w:t>
            </w:r>
          </w:p>
        </w:tc>
        <w:tc>
          <w:tcPr>
            <w:tcW w:w="0" w:type="auto"/>
            <w:tcBorders>
              <w:top w:val="nil"/>
              <w:left w:val="nil"/>
              <w:bottom w:val="single" w:color="auto" w:sz="4" w:space="0"/>
              <w:right w:val="single" w:color="auto" w:sz="4" w:space="0"/>
            </w:tcBorders>
            <w:shd w:val="clear" w:color="auto" w:fill="auto"/>
            <w:noWrap/>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Cs w:val="20"/>
              </w:rPr>
              <w:t>0.00</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30106</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伙食补助费</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szCs w:val="21"/>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30204</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手续费</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31001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房屋建筑物购建</w:t>
            </w:r>
          </w:p>
        </w:tc>
        <w:tc>
          <w:tcPr>
            <w:tcW w:w="0" w:type="auto"/>
            <w:tcBorders>
              <w:top w:val="nil"/>
              <w:left w:val="nil"/>
              <w:bottom w:val="single" w:color="auto" w:sz="4" w:space="0"/>
              <w:right w:val="single" w:color="auto" w:sz="4" w:space="0"/>
            </w:tcBorders>
            <w:shd w:val="clear" w:color="auto" w:fill="auto"/>
            <w:noWrap/>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Cs w:val="20"/>
              </w:rPr>
              <w:t>0.00</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30107</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绩效工资</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szCs w:val="21"/>
              </w:rPr>
              <w:t>67.23</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30205</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水费</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rPr>
              <w:t>2.00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31002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办公设备购置</w:t>
            </w:r>
          </w:p>
        </w:tc>
        <w:tc>
          <w:tcPr>
            <w:tcW w:w="0" w:type="auto"/>
            <w:tcBorders>
              <w:top w:val="nil"/>
              <w:left w:val="nil"/>
              <w:bottom w:val="single" w:color="auto" w:sz="4" w:space="0"/>
              <w:right w:val="single" w:color="auto" w:sz="4" w:space="0"/>
            </w:tcBorders>
            <w:shd w:val="clear" w:color="auto" w:fill="auto"/>
            <w:noWrap/>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Cs w:val="20"/>
              </w:rPr>
              <w:t>0.00</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30108</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机关事业单位基本养老保险缴费</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szCs w:val="21"/>
              </w:rPr>
              <w:t>40.00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30206</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电费</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rPr>
              <w:t>4.09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31003</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专用设备购置</w:t>
            </w:r>
          </w:p>
        </w:tc>
        <w:tc>
          <w:tcPr>
            <w:tcW w:w="0" w:type="auto"/>
            <w:tcBorders>
              <w:top w:val="nil"/>
              <w:left w:val="nil"/>
              <w:bottom w:val="single" w:color="auto" w:sz="4" w:space="0"/>
              <w:right w:val="single" w:color="auto" w:sz="4" w:space="0"/>
            </w:tcBorders>
            <w:shd w:val="clear" w:color="auto" w:fill="auto"/>
            <w:noWrap/>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Cs w:val="20"/>
              </w:rPr>
              <w:t>0.00</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30109</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职业年金缴费</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szCs w:val="21"/>
              </w:rPr>
              <w:t>6.50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30207</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邮电费</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31005</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基础设施建设</w:t>
            </w:r>
          </w:p>
        </w:tc>
        <w:tc>
          <w:tcPr>
            <w:tcW w:w="0" w:type="auto"/>
            <w:tcBorders>
              <w:top w:val="nil"/>
              <w:left w:val="nil"/>
              <w:bottom w:val="single" w:color="auto" w:sz="4" w:space="0"/>
              <w:right w:val="single" w:color="auto" w:sz="4" w:space="0"/>
            </w:tcBorders>
            <w:shd w:val="clear" w:color="auto" w:fill="auto"/>
            <w:noWrap/>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Cs w:val="20"/>
              </w:rPr>
              <w:t>0.00</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30110</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职工基本医疗保险缴费</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szCs w:val="21"/>
              </w:rPr>
              <w:t>20.42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30208</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取暖费</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31006</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大型修缮</w:t>
            </w:r>
          </w:p>
        </w:tc>
        <w:tc>
          <w:tcPr>
            <w:tcW w:w="0" w:type="auto"/>
            <w:tcBorders>
              <w:top w:val="nil"/>
              <w:left w:val="nil"/>
              <w:bottom w:val="single" w:color="auto" w:sz="4" w:space="0"/>
              <w:right w:val="single" w:color="auto" w:sz="4" w:space="0"/>
            </w:tcBorders>
            <w:shd w:val="clear" w:color="auto" w:fill="auto"/>
            <w:noWrap/>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Cs w:val="20"/>
              </w:rPr>
              <w:t>0.00</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30111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公务员医疗补助缴费</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szCs w:val="21"/>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30209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物业管理费</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rPr>
              <w:t>9.75</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31007</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信息网络及软件购置更新</w:t>
            </w:r>
          </w:p>
        </w:tc>
        <w:tc>
          <w:tcPr>
            <w:tcW w:w="0" w:type="auto"/>
            <w:tcBorders>
              <w:top w:val="nil"/>
              <w:left w:val="nil"/>
              <w:bottom w:val="single" w:color="auto" w:sz="4" w:space="0"/>
              <w:right w:val="single" w:color="auto" w:sz="4" w:space="0"/>
            </w:tcBorders>
            <w:shd w:val="clear" w:color="auto" w:fill="auto"/>
            <w:noWrap/>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Cs w:val="20"/>
              </w:rPr>
              <w:t>0.00</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30112</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其他社会保障缴费</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szCs w:val="21"/>
              </w:rPr>
              <w:t>3.36</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30211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差旅费</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rPr>
              <w:t>7.50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31008</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物资储备</w:t>
            </w:r>
          </w:p>
        </w:tc>
        <w:tc>
          <w:tcPr>
            <w:tcW w:w="0" w:type="auto"/>
            <w:tcBorders>
              <w:top w:val="nil"/>
              <w:left w:val="nil"/>
              <w:bottom w:val="single" w:color="auto" w:sz="4" w:space="0"/>
              <w:right w:val="single" w:color="auto" w:sz="4" w:space="0"/>
            </w:tcBorders>
            <w:shd w:val="clear" w:color="auto" w:fill="auto"/>
            <w:noWrap/>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Cs w:val="20"/>
              </w:rPr>
              <w:t>0.00</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30113</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住房公积金</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szCs w:val="21"/>
              </w:rPr>
              <w:t>46.39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30212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因公出国（境）费用</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31009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土地补偿</w:t>
            </w:r>
          </w:p>
        </w:tc>
        <w:tc>
          <w:tcPr>
            <w:tcW w:w="0" w:type="auto"/>
            <w:tcBorders>
              <w:top w:val="nil"/>
              <w:left w:val="nil"/>
              <w:bottom w:val="single" w:color="auto" w:sz="4" w:space="0"/>
              <w:right w:val="single" w:color="auto" w:sz="4" w:space="0"/>
            </w:tcBorders>
            <w:shd w:val="clear" w:color="auto" w:fill="auto"/>
            <w:noWrap/>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Cs w:val="20"/>
              </w:rPr>
              <w:t>0.00</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30114</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医疗费</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szCs w:val="21"/>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30213</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维修（护）费</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rPr>
              <w:t>3.43</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31010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安置补助</w:t>
            </w:r>
          </w:p>
        </w:tc>
        <w:tc>
          <w:tcPr>
            <w:tcW w:w="0" w:type="auto"/>
            <w:tcBorders>
              <w:top w:val="nil"/>
              <w:left w:val="nil"/>
              <w:bottom w:val="single" w:color="auto" w:sz="4" w:space="0"/>
              <w:right w:val="single" w:color="auto" w:sz="4" w:space="0"/>
            </w:tcBorders>
            <w:shd w:val="clear" w:color="auto" w:fill="auto"/>
            <w:noWrap/>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Cs w:val="20"/>
              </w:rPr>
              <w:t>0.00</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30199</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其他工资福利支出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szCs w:val="21"/>
              </w:rPr>
              <w:t>7.06</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30214</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租赁费</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31011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地上附着物和青苗补偿</w:t>
            </w:r>
          </w:p>
        </w:tc>
        <w:tc>
          <w:tcPr>
            <w:tcW w:w="0" w:type="auto"/>
            <w:tcBorders>
              <w:top w:val="nil"/>
              <w:left w:val="nil"/>
              <w:bottom w:val="single" w:color="auto" w:sz="4" w:space="0"/>
              <w:right w:val="single" w:color="auto" w:sz="4" w:space="0"/>
            </w:tcBorders>
            <w:shd w:val="clear" w:color="auto" w:fill="auto"/>
            <w:noWrap/>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Cs w:val="20"/>
              </w:rPr>
              <w:t>0.00</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303</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对个人和家庭的补助</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szCs w:val="21"/>
              </w:rPr>
              <w:t>61.26</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30215</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会议费</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31012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拆迁补偿</w:t>
            </w:r>
          </w:p>
        </w:tc>
        <w:tc>
          <w:tcPr>
            <w:tcW w:w="0" w:type="auto"/>
            <w:tcBorders>
              <w:top w:val="nil"/>
              <w:left w:val="nil"/>
              <w:bottom w:val="single" w:color="auto" w:sz="4" w:space="0"/>
              <w:right w:val="single" w:color="auto" w:sz="4" w:space="0"/>
            </w:tcBorders>
            <w:shd w:val="clear" w:color="auto" w:fill="auto"/>
            <w:noWrap/>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Cs w:val="20"/>
              </w:rPr>
              <w:t>0.00</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30301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离休费</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szCs w:val="21"/>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30216</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培训费</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rPr>
              <w:t>0.77</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31013</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公务用车购置</w:t>
            </w:r>
          </w:p>
        </w:tc>
        <w:tc>
          <w:tcPr>
            <w:tcW w:w="0" w:type="auto"/>
            <w:tcBorders>
              <w:top w:val="nil"/>
              <w:left w:val="nil"/>
              <w:bottom w:val="single" w:color="auto" w:sz="4" w:space="0"/>
              <w:right w:val="single" w:color="auto" w:sz="4" w:space="0"/>
            </w:tcBorders>
            <w:shd w:val="clear" w:color="auto" w:fill="auto"/>
            <w:noWrap/>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Cs w:val="20"/>
              </w:rPr>
              <w:t>0.00</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30302</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退休费</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szCs w:val="21"/>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30217</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公务接待费</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rPr>
              <w:t>0.59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31019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其他交通工具购置</w:t>
            </w:r>
          </w:p>
        </w:tc>
        <w:tc>
          <w:tcPr>
            <w:tcW w:w="0" w:type="auto"/>
            <w:tcBorders>
              <w:top w:val="nil"/>
              <w:left w:val="nil"/>
              <w:bottom w:val="single" w:color="auto" w:sz="4" w:space="0"/>
              <w:right w:val="single" w:color="auto" w:sz="4" w:space="0"/>
            </w:tcBorders>
            <w:shd w:val="clear" w:color="auto" w:fill="auto"/>
            <w:noWrap/>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Cs w:val="20"/>
              </w:rPr>
              <w:t>0.00</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30303</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退职（役）费</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szCs w:val="21"/>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30218</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专用材料费</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31021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文物和陈列品购置</w:t>
            </w:r>
          </w:p>
        </w:tc>
        <w:tc>
          <w:tcPr>
            <w:tcW w:w="0" w:type="auto"/>
            <w:tcBorders>
              <w:top w:val="nil"/>
              <w:left w:val="nil"/>
              <w:bottom w:val="single" w:color="auto" w:sz="4" w:space="0"/>
              <w:right w:val="single" w:color="auto" w:sz="4" w:space="0"/>
            </w:tcBorders>
            <w:shd w:val="clear" w:color="auto" w:fill="auto"/>
            <w:noWrap/>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Cs w:val="20"/>
              </w:rPr>
              <w:t>0.00</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30304</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抚恤金</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szCs w:val="21"/>
              </w:rPr>
              <w:t>0.35</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30224</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被装购置费</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31022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无形资产购置</w:t>
            </w:r>
          </w:p>
        </w:tc>
        <w:tc>
          <w:tcPr>
            <w:tcW w:w="0" w:type="auto"/>
            <w:tcBorders>
              <w:top w:val="nil"/>
              <w:left w:val="nil"/>
              <w:bottom w:val="single" w:color="auto" w:sz="4" w:space="0"/>
              <w:right w:val="single" w:color="auto" w:sz="4" w:space="0"/>
            </w:tcBorders>
            <w:shd w:val="clear" w:color="auto" w:fill="auto"/>
            <w:noWrap/>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Cs w:val="20"/>
              </w:rPr>
              <w:t>0.00</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30305</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生活补助</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szCs w:val="21"/>
              </w:rPr>
              <w:t>5.52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30225</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专用燃料费</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31099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其他资本性支出</w:t>
            </w:r>
          </w:p>
        </w:tc>
        <w:tc>
          <w:tcPr>
            <w:tcW w:w="0" w:type="auto"/>
            <w:tcBorders>
              <w:top w:val="nil"/>
              <w:left w:val="nil"/>
              <w:bottom w:val="single" w:color="auto" w:sz="4" w:space="0"/>
              <w:right w:val="single" w:color="auto" w:sz="4" w:space="0"/>
            </w:tcBorders>
            <w:shd w:val="clear" w:color="auto" w:fill="auto"/>
            <w:noWrap/>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Cs w:val="20"/>
              </w:rPr>
              <w:t>0.00</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30306</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救济费</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szCs w:val="21"/>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30226</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劳务费</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399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其他支出</w:t>
            </w:r>
          </w:p>
        </w:tc>
        <w:tc>
          <w:tcPr>
            <w:tcW w:w="0" w:type="auto"/>
            <w:tcBorders>
              <w:top w:val="nil"/>
              <w:left w:val="nil"/>
              <w:bottom w:val="single" w:color="auto" w:sz="4" w:space="0"/>
              <w:right w:val="single" w:color="auto" w:sz="4" w:space="0"/>
            </w:tcBorders>
            <w:shd w:val="clear" w:color="auto" w:fill="auto"/>
            <w:noWrap/>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Cs w:val="20"/>
              </w:rPr>
              <w:t>0.00</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30307</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医疗费补助</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szCs w:val="21"/>
              </w:rPr>
              <w:t>24.40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30227</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委托业务费</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39906</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赠与</w:t>
            </w:r>
          </w:p>
        </w:tc>
        <w:tc>
          <w:tcPr>
            <w:tcW w:w="0" w:type="auto"/>
            <w:tcBorders>
              <w:top w:val="nil"/>
              <w:left w:val="nil"/>
              <w:bottom w:val="single" w:color="auto" w:sz="4" w:space="0"/>
              <w:right w:val="single" w:color="auto" w:sz="4" w:space="0"/>
            </w:tcBorders>
            <w:shd w:val="clear" w:color="auto" w:fill="auto"/>
            <w:noWrap/>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Cs w:val="20"/>
              </w:rPr>
              <w:t>0.00</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30308</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助学金</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szCs w:val="21"/>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30228</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工会经费</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rPr>
              <w:t>12.59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39907</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国家赔偿费用支出</w:t>
            </w:r>
          </w:p>
        </w:tc>
        <w:tc>
          <w:tcPr>
            <w:tcW w:w="0" w:type="auto"/>
            <w:tcBorders>
              <w:top w:val="nil"/>
              <w:left w:val="nil"/>
              <w:bottom w:val="single" w:color="auto" w:sz="4" w:space="0"/>
              <w:right w:val="single" w:color="auto" w:sz="4" w:space="0"/>
            </w:tcBorders>
            <w:shd w:val="clear" w:color="auto" w:fill="auto"/>
            <w:noWrap/>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Cs w:val="20"/>
              </w:rPr>
              <w:t>0.00</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30309</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奖励金</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szCs w:val="21"/>
              </w:rPr>
              <w:t>18.98</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30229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福利费</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rPr>
              <w:t>0.41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39908</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对民间非营利组织和群众性自治组织补贴</w:t>
            </w:r>
          </w:p>
        </w:tc>
        <w:tc>
          <w:tcPr>
            <w:tcW w:w="0" w:type="auto"/>
            <w:tcBorders>
              <w:top w:val="nil"/>
              <w:left w:val="nil"/>
              <w:bottom w:val="single" w:color="auto" w:sz="4" w:space="0"/>
              <w:right w:val="single" w:color="auto" w:sz="4" w:space="0"/>
            </w:tcBorders>
            <w:shd w:val="clear" w:color="auto" w:fill="auto"/>
            <w:noWrap/>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Cs w:val="20"/>
              </w:rPr>
              <w:t>0.00</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30310</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个人农业生产补贴</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szCs w:val="21"/>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30231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公务用车运行维护费</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rPr>
              <w:t>2.00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39999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其他支出</w:t>
            </w:r>
          </w:p>
        </w:tc>
        <w:tc>
          <w:tcPr>
            <w:tcW w:w="0" w:type="auto"/>
            <w:tcBorders>
              <w:top w:val="nil"/>
              <w:left w:val="nil"/>
              <w:bottom w:val="single" w:color="auto" w:sz="4" w:space="0"/>
              <w:right w:val="single" w:color="auto" w:sz="4" w:space="0"/>
            </w:tcBorders>
            <w:shd w:val="clear" w:color="auto" w:fill="auto"/>
            <w:noWrap/>
          </w:tcPr>
          <w:p>
            <w:pPr>
              <w:jc w:val="center"/>
              <w:rPr>
                <w:rFonts w:hint="default" w:ascii="Times New Roman" w:hAnsi="Times New Roman" w:cs="Times New Roman"/>
                <w:color w:val="auto"/>
              </w:rPr>
            </w:pPr>
            <w:r>
              <w:rPr>
                <w:rFonts w:hint="default" w:ascii="Times New Roman" w:hAnsi="Times New Roman" w:eastAsia="宋体" w:cs="Times New Roman"/>
                <w:color w:val="auto"/>
                <w:kern w:val="0"/>
                <w:szCs w:val="20"/>
              </w:rPr>
              <w:t>0.00</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30311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代缴社会保险费</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szCs w:val="21"/>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30239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其他交通费用</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rPr>
              <w:t>0.93</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18"/>
              </w:rPr>
            </w:pPr>
            <w:r>
              <w:rPr>
                <w:rFonts w:hint="default" w:ascii="Times New Roman" w:hAnsi="Times New Roman" w:eastAsia="宋体" w:cs="Times New Roman"/>
                <w:color w:val="auto"/>
                <w:kern w:val="0"/>
                <w:szCs w:val="18"/>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18"/>
              </w:rPr>
            </w:pPr>
            <w:r>
              <w:rPr>
                <w:rFonts w:hint="default" w:ascii="Times New Roman" w:hAnsi="Times New Roman" w:eastAsia="宋体" w:cs="Times New Roman"/>
                <w:color w:val="auto"/>
                <w:kern w:val="0"/>
                <w:szCs w:val="18"/>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30399</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其他对个人和家庭的补助</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szCs w:val="21"/>
              </w:rPr>
              <w:t>12.01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30240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税金及附加费用</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18"/>
              </w:rPr>
            </w:pPr>
            <w:r>
              <w:rPr>
                <w:rFonts w:hint="default" w:ascii="Times New Roman" w:hAnsi="Times New Roman" w:eastAsia="宋体" w:cs="Times New Roman"/>
                <w:color w:val="auto"/>
                <w:kern w:val="0"/>
                <w:szCs w:val="18"/>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18"/>
              </w:rPr>
            </w:pPr>
            <w:r>
              <w:rPr>
                <w:rFonts w:hint="default" w:ascii="Times New Roman" w:hAnsi="Times New Roman" w:eastAsia="宋体" w:cs="Times New Roman"/>
                <w:color w:val="auto"/>
                <w:kern w:val="0"/>
                <w:szCs w:val="18"/>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Cs w:val="20"/>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30299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其他商品和服务支出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rPr>
              <w:t>7.92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18"/>
              </w:rPr>
            </w:pPr>
            <w:r>
              <w:rPr>
                <w:rFonts w:hint="default" w:ascii="Times New Roman" w:hAnsi="Times New Roman" w:eastAsia="宋体" w:cs="Times New Roman"/>
                <w:color w:val="auto"/>
                <w:kern w:val="0"/>
                <w:szCs w:val="18"/>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18"/>
              </w:rPr>
            </w:pPr>
            <w:r>
              <w:rPr>
                <w:rFonts w:hint="default" w:ascii="Times New Roman" w:hAnsi="Times New Roman" w:eastAsia="宋体" w:cs="Times New Roman"/>
                <w:color w:val="auto"/>
                <w:kern w:val="0"/>
                <w:szCs w:val="18"/>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w:t>
            </w:r>
          </w:p>
        </w:tc>
      </w:tr>
      <w:tr>
        <w:tblPrEx>
          <w:tblCellMar>
            <w:top w:w="0" w:type="dxa"/>
            <w:left w:w="108" w:type="dxa"/>
            <w:bottom w:w="0" w:type="dxa"/>
            <w:right w:w="108" w:type="dxa"/>
          </w:tblCellMar>
        </w:tblPrEx>
        <w:trPr>
          <w:trHeight w:val="284" w:hRule="exact"/>
        </w:trPr>
        <w:tc>
          <w:tcPr>
            <w:tcW w:w="0" w:type="auto"/>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人员经费合计</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344.85</w:t>
            </w:r>
          </w:p>
        </w:tc>
        <w:tc>
          <w:tcPr>
            <w:tcW w:w="0" w:type="auto"/>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公用经费合计</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auto"/>
                <w:kern w:val="0"/>
                <w:szCs w:val="18"/>
              </w:rPr>
            </w:pPr>
            <w:r>
              <w:rPr>
                <w:rFonts w:hint="default" w:ascii="Times New Roman" w:hAnsi="Times New Roman" w:eastAsia="宋体" w:cs="Times New Roman"/>
                <w:color w:val="auto"/>
                <w:kern w:val="0"/>
                <w:szCs w:val="18"/>
              </w:rPr>
              <w:t>　59.96</w:t>
            </w:r>
          </w:p>
        </w:tc>
      </w:tr>
      <w:tr>
        <w:tblPrEx>
          <w:tblCellMar>
            <w:top w:w="0" w:type="dxa"/>
            <w:left w:w="108" w:type="dxa"/>
            <w:bottom w:w="0" w:type="dxa"/>
            <w:right w:w="108" w:type="dxa"/>
          </w:tblCellMar>
        </w:tblPrEx>
        <w:trPr>
          <w:trHeight w:val="284" w:hRule="exact"/>
        </w:trPr>
        <w:tc>
          <w:tcPr>
            <w:tcW w:w="0" w:type="auto"/>
            <w:gridSpan w:val="9"/>
            <w:tcBorders>
              <w:top w:val="nil"/>
              <w:left w:val="nil"/>
              <w:bottom w:val="nil"/>
              <w:right w:val="nil"/>
            </w:tcBorders>
            <w:shd w:val="clear" w:color="auto" w:fill="auto"/>
            <w:noWrap/>
            <w:vAlign w:val="center"/>
          </w:tcPr>
          <w:p>
            <w:pPr>
              <w:widowControl/>
              <w:jc w:val="left"/>
              <w:rPr>
                <w:rFonts w:hint="default" w:ascii="Times New Roman" w:hAnsi="Times New Roman" w:eastAsia="宋体" w:cs="Times New Roman"/>
                <w:color w:val="auto"/>
                <w:kern w:val="0"/>
                <w:szCs w:val="24"/>
              </w:rPr>
            </w:pPr>
            <w:r>
              <w:rPr>
                <w:rFonts w:hint="default" w:ascii="Times New Roman" w:hAnsi="Times New Roman" w:eastAsia="宋体" w:cs="Times New Roman"/>
                <w:color w:val="auto"/>
                <w:kern w:val="0"/>
                <w:szCs w:val="24"/>
              </w:rPr>
              <w:t>注：本表反映部门本年度一般公共预算财政拨款基本支出明细情况。</w:t>
            </w:r>
          </w:p>
        </w:tc>
      </w:tr>
    </w:tbl>
    <w:p>
      <w:pPr>
        <w:widowControl/>
        <w:jc w:val="center"/>
        <w:rPr>
          <w:rFonts w:hint="default" w:ascii="Times New Roman" w:hAnsi="Times New Roman" w:eastAsia="方正小标宋_GBK" w:cs="Times New Roman"/>
          <w:color w:val="auto"/>
          <w:kern w:val="0"/>
          <w:sz w:val="36"/>
          <w:szCs w:val="36"/>
        </w:rPr>
      </w:pPr>
      <w:r>
        <w:rPr>
          <w:rFonts w:hint="default" w:ascii="Times New Roman" w:hAnsi="Times New Roman" w:eastAsia="方正小标宋_GBK" w:cs="Times New Roman"/>
          <w:color w:val="auto"/>
          <w:kern w:val="0"/>
          <w:sz w:val="36"/>
          <w:szCs w:val="36"/>
        </w:rPr>
        <w:t>一般公共预算财政拨款“三公”经费支出决算表</w:t>
      </w:r>
    </w:p>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部门：</w:t>
      </w:r>
      <w:r>
        <w:rPr>
          <w:rFonts w:hint="default" w:ascii="Times New Roman" w:hAnsi="Times New Roman" w:eastAsia="宋体" w:cs="Times New Roman"/>
          <w:color w:val="auto"/>
          <w:kern w:val="0"/>
          <w:sz w:val="20"/>
          <w:szCs w:val="20"/>
        </w:rPr>
        <w:t>湖南省新闻出版广电局岳阳中波转播台</w:t>
      </w:r>
      <w:r>
        <w:rPr>
          <w:rFonts w:hint="default" w:ascii="Times New Roman" w:hAnsi="Times New Roman" w:eastAsia="仿宋_GB2312" w:cs="Times New Roman"/>
          <w:color w:val="auto"/>
          <w:kern w:val="0"/>
          <w:szCs w:val="21"/>
        </w:rPr>
        <w:t xml:space="preserve"> </w:t>
      </w:r>
      <w:r>
        <w:rPr>
          <w:rFonts w:hint="default" w:ascii="Times New Roman" w:hAnsi="Times New Roman" w:eastAsia="仿宋_GB2312" w:cs="Times New Roman"/>
          <w:color w:val="auto"/>
          <w:kern w:val="0"/>
          <w:szCs w:val="21"/>
        </w:rPr>
        <w:t xml:space="preserve">                                                                         </w:t>
      </w:r>
      <w:r>
        <w:rPr>
          <w:rFonts w:hint="default" w:ascii="Times New Roman" w:hAnsi="Times New Roman" w:eastAsia="仿宋_GB2312" w:cs="Times New Roman"/>
          <w:color w:val="auto"/>
          <w:kern w:val="0"/>
          <w:szCs w:val="21"/>
        </w:rPr>
        <w:t xml:space="preserve">         </w:t>
      </w:r>
      <w:r>
        <w:rPr>
          <w:rFonts w:hint="default" w:ascii="Times New Roman" w:hAnsi="Times New Roman" w:eastAsia="仿宋_GB2312" w:cs="Times New Roman"/>
          <w:color w:val="auto"/>
          <w:kern w:val="0"/>
          <w:szCs w:val="21"/>
        </w:rPr>
        <w:t xml:space="preserve">      </w:t>
      </w:r>
      <w:r>
        <w:rPr>
          <w:rFonts w:hint="default" w:ascii="Times New Roman" w:hAnsi="Times New Roman" w:eastAsia="仿宋_GB2312" w:cs="Times New Roman"/>
          <w:color w:val="auto"/>
          <w:kern w:val="0"/>
          <w:szCs w:val="21"/>
        </w:rPr>
        <w:t xml:space="preserve">   </w:t>
      </w:r>
      <w:r>
        <w:rPr>
          <w:rFonts w:hint="default" w:ascii="Times New Roman" w:hAnsi="Times New Roman" w:eastAsia="仿宋_GB2312" w:cs="Times New Roman"/>
          <w:color w:val="auto"/>
          <w:kern w:val="0"/>
          <w:szCs w:val="21"/>
        </w:rPr>
        <w:t xml:space="preserve"> 公开0</w:t>
      </w:r>
      <w:r>
        <w:rPr>
          <w:rFonts w:hint="default" w:ascii="Times New Roman" w:hAnsi="Times New Roman" w:eastAsia="仿宋_GB2312" w:cs="Times New Roman"/>
          <w:color w:val="auto"/>
          <w:kern w:val="0"/>
          <w:szCs w:val="21"/>
        </w:rPr>
        <w:t>7</w:t>
      </w:r>
      <w:r>
        <w:rPr>
          <w:rFonts w:hint="default" w:ascii="Times New Roman" w:hAnsi="Times New Roman" w:eastAsia="仿宋_GB2312" w:cs="Times New Roman"/>
          <w:color w:val="auto"/>
          <w:kern w:val="0"/>
          <w:szCs w:val="21"/>
        </w:rPr>
        <w:t>表</w:t>
      </w:r>
    </w:p>
    <w:p>
      <w:pPr>
        <w:widowControl/>
        <w:ind w:right="420"/>
        <w:jc w:val="righ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单位：万元</w:t>
      </w:r>
    </w:p>
    <w:tbl>
      <w:tblPr>
        <w:tblStyle w:val="7"/>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公务</w:t>
            </w:r>
          </w:p>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公务</w:t>
            </w:r>
          </w:p>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hint="default" w:ascii="Times New Roman" w:hAnsi="Times New Roman" w:eastAsia="仿宋_GB2312" w:cs="Times New Roman"/>
                <w:color w:val="auto"/>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eastAsia="仿宋_GB2312" w:cs="Times New Roman"/>
                <w:color w:val="auto"/>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公务用车</w:t>
            </w:r>
            <w:r>
              <w:rPr>
                <w:rFonts w:hint="default" w:ascii="Times New Roman" w:hAnsi="Times New Roman" w:eastAsia="仿宋_GB2312" w:cs="Times New Roman"/>
                <w:color w:val="auto"/>
                <w:kern w:val="0"/>
                <w:szCs w:val="21"/>
              </w:rPr>
              <w:br w:type="textWrapping"/>
            </w:r>
            <w:r>
              <w:rPr>
                <w:rFonts w:hint="default" w:ascii="Times New Roman" w:hAnsi="Times New Roman" w:eastAsia="仿宋_GB2312" w:cs="Times New Roman"/>
                <w:color w:val="auto"/>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公务用车</w:t>
            </w:r>
            <w:r>
              <w:rPr>
                <w:rFonts w:hint="default" w:ascii="Times New Roman" w:hAnsi="Times New Roman" w:eastAsia="仿宋_GB2312" w:cs="Times New Roman"/>
                <w:color w:val="auto"/>
                <w:kern w:val="0"/>
                <w:szCs w:val="21"/>
              </w:rPr>
              <w:br w:type="textWrapping"/>
            </w:r>
            <w:r>
              <w:rPr>
                <w:rFonts w:hint="default" w:ascii="Times New Roman" w:hAnsi="Times New Roman" w:eastAsia="仿宋_GB2312" w:cs="Times New Roman"/>
                <w:color w:val="auto"/>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hint="default" w:ascii="Times New Roman" w:hAnsi="Times New Roman" w:eastAsia="仿宋_GB2312" w:cs="Times New Roman"/>
                <w:color w:val="auto"/>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eastAsia="仿宋_GB2312" w:cs="Times New Roman"/>
                <w:color w:val="auto"/>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公务用车</w:t>
            </w:r>
            <w:r>
              <w:rPr>
                <w:rFonts w:hint="default" w:ascii="Times New Roman" w:hAnsi="Times New Roman" w:eastAsia="仿宋_GB2312" w:cs="Times New Roman"/>
                <w:color w:val="auto"/>
                <w:kern w:val="0"/>
                <w:szCs w:val="21"/>
              </w:rPr>
              <w:br w:type="textWrapping"/>
            </w:r>
            <w:r>
              <w:rPr>
                <w:rFonts w:hint="default" w:ascii="Times New Roman" w:hAnsi="Times New Roman" w:eastAsia="仿宋_GB2312" w:cs="Times New Roman"/>
                <w:color w:val="auto"/>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公务用车</w:t>
            </w:r>
            <w:r>
              <w:rPr>
                <w:rFonts w:hint="default" w:ascii="Times New Roman" w:hAnsi="Times New Roman" w:eastAsia="仿宋_GB2312" w:cs="Times New Roman"/>
                <w:color w:val="auto"/>
                <w:kern w:val="0"/>
                <w:szCs w:val="21"/>
              </w:rPr>
              <w:br w:type="textWrapping"/>
            </w:r>
            <w:r>
              <w:rPr>
                <w:rFonts w:hint="default" w:ascii="Times New Roman" w:hAnsi="Times New Roman" w:eastAsia="仿宋_GB2312" w:cs="Times New Roman"/>
                <w:color w:val="auto"/>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hint="default" w:ascii="Times New Roman" w:hAnsi="Times New Roman" w:eastAsia="仿宋_GB2312" w:cs="Times New Roman"/>
                <w:color w:val="auto"/>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3.5</w:t>
            </w:r>
            <w:r>
              <w:rPr>
                <w:rFonts w:hint="default" w:ascii="Times New Roman" w:hAnsi="Times New Roman" w:eastAsia="仿宋_GB2312" w:cs="Times New Roman"/>
                <w:color w:val="auto"/>
                <w:kern w:val="0"/>
                <w:szCs w:val="21"/>
              </w:rPr>
              <w:t>0</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宋体" w:cs="Times New Roman"/>
                <w:color w:val="auto"/>
                <w:kern w:val="0"/>
                <w:sz w:val="22"/>
              </w:rPr>
              <w:t>0.00</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2</w:t>
            </w:r>
            <w:r>
              <w:rPr>
                <w:rFonts w:hint="default" w:ascii="Times New Roman" w:hAnsi="Times New Roman" w:eastAsia="仿宋_GB2312" w:cs="Times New Roman"/>
                <w:color w:val="auto"/>
                <w:kern w:val="0"/>
                <w:szCs w:val="21"/>
              </w:rPr>
              <w:t>.00</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宋体" w:cs="Times New Roman"/>
                <w:color w:val="auto"/>
                <w:kern w:val="0"/>
                <w:sz w:val="22"/>
              </w:rPr>
              <w:t>0.00</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2</w:t>
            </w:r>
            <w:r>
              <w:rPr>
                <w:rFonts w:hint="default" w:ascii="Times New Roman" w:hAnsi="Times New Roman" w:eastAsia="仿宋_GB2312" w:cs="Times New Roman"/>
                <w:color w:val="auto"/>
                <w:kern w:val="0"/>
                <w:szCs w:val="21"/>
              </w:rPr>
              <w:t>.00</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1.5</w:t>
            </w:r>
            <w:r>
              <w:rPr>
                <w:rFonts w:hint="default" w:ascii="Times New Roman" w:hAnsi="Times New Roman" w:eastAsia="仿宋_GB2312" w:cs="Times New Roman"/>
                <w:color w:val="auto"/>
                <w:kern w:val="0"/>
                <w:szCs w:val="21"/>
              </w:rPr>
              <w:t>0</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2.59</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宋体" w:cs="Times New Roman"/>
                <w:color w:val="auto"/>
                <w:kern w:val="0"/>
                <w:sz w:val="22"/>
              </w:rPr>
              <w:t>0.00</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2</w:t>
            </w:r>
            <w:r>
              <w:rPr>
                <w:rFonts w:hint="default" w:ascii="Times New Roman" w:hAnsi="Times New Roman" w:eastAsia="仿宋_GB2312" w:cs="Times New Roman"/>
                <w:color w:val="auto"/>
                <w:kern w:val="0"/>
                <w:szCs w:val="21"/>
              </w:rPr>
              <w:t>.00</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宋体" w:cs="Times New Roman"/>
                <w:color w:val="auto"/>
                <w:kern w:val="0"/>
                <w:sz w:val="22"/>
              </w:rPr>
              <w:t>0.00</w:t>
            </w:r>
          </w:p>
        </w:tc>
        <w:tc>
          <w:tcPr>
            <w:tcW w:w="1220" w:type="dxa"/>
            <w:tcBorders>
              <w:top w:val="nil"/>
              <w:left w:val="nil"/>
              <w:bottom w:val="single" w:color="auto" w:sz="8" w:space="0"/>
              <w:right w:val="nil"/>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2</w:t>
            </w:r>
            <w:r>
              <w:rPr>
                <w:rFonts w:hint="default" w:ascii="Times New Roman" w:hAnsi="Times New Roman" w:eastAsia="仿宋_GB2312" w:cs="Times New Roman"/>
                <w:color w:val="auto"/>
                <w:kern w:val="0"/>
                <w:szCs w:val="21"/>
              </w:rPr>
              <w:t>.00</w:t>
            </w:r>
          </w:p>
        </w:tc>
        <w:tc>
          <w:tcPr>
            <w:tcW w:w="1220" w:type="dxa"/>
            <w:tcBorders>
              <w:top w:val="nil"/>
              <w:left w:val="single" w:color="auto" w:sz="4" w:space="0"/>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0.59</w:t>
            </w:r>
          </w:p>
        </w:tc>
      </w:tr>
    </w:tbl>
    <w:p>
      <w:pPr>
        <w:widowControl/>
        <w:jc w:val="lef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hint="default" w:ascii="Times New Roman" w:hAnsi="Times New Roman" w:eastAsia="宋体" w:cs="Times New Roman"/>
          <w:color w:val="auto"/>
          <w:kern w:val="0"/>
          <w:sz w:val="24"/>
          <w:szCs w:val="24"/>
        </w:rPr>
        <w:br w:type="page"/>
      </w:r>
    </w:p>
    <w:p>
      <w:pPr>
        <w:autoSpaceDE w:val="0"/>
        <w:autoSpaceDN w:val="0"/>
        <w:adjustRightInd w:val="0"/>
        <w:ind w:left="315" w:leftChars="150"/>
        <w:jc w:val="left"/>
        <w:rPr>
          <w:rFonts w:hint="default" w:ascii="Times New Roman" w:hAnsi="Times New Roman" w:eastAsia="宋体" w:cs="Times New Roman"/>
          <w:color w:val="auto"/>
          <w:kern w:val="0"/>
          <w:sz w:val="24"/>
          <w:szCs w:val="24"/>
        </w:rPr>
      </w:pPr>
    </w:p>
    <w:p>
      <w:pPr>
        <w:widowControl/>
        <w:jc w:val="center"/>
        <w:rPr>
          <w:rFonts w:hint="default" w:ascii="Times New Roman" w:hAnsi="Times New Roman" w:eastAsia="方正小标宋_GBK" w:cs="Times New Roman"/>
          <w:color w:val="auto"/>
          <w:kern w:val="0"/>
          <w:sz w:val="36"/>
          <w:szCs w:val="36"/>
        </w:rPr>
      </w:pPr>
      <w:r>
        <w:rPr>
          <w:rFonts w:hint="default" w:ascii="Times New Roman" w:hAnsi="Times New Roman" w:eastAsia="方正小标宋_GBK" w:cs="Times New Roman"/>
          <w:color w:val="auto"/>
          <w:kern w:val="0"/>
          <w:sz w:val="36"/>
          <w:szCs w:val="36"/>
        </w:rPr>
        <w:t>政府性基金预算财政拨款收入支出决算表</w:t>
      </w:r>
    </w:p>
    <w:p>
      <w:pPr>
        <w:widowControl/>
        <w:wordWrap w:val="0"/>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部门：</w:t>
      </w:r>
      <w:r>
        <w:rPr>
          <w:rFonts w:hint="default" w:ascii="Times New Roman" w:hAnsi="Times New Roman" w:eastAsia="宋体" w:cs="Times New Roman"/>
          <w:color w:val="auto"/>
          <w:kern w:val="0"/>
          <w:sz w:val="20"/>
          <w:szCs w:val="20"/>
        </w:rPr>
        <w:t>湖南省新闻出版广电局岳阳中波转播台</w:t>
      </w:r>
      <w:r>
        <w:rPr>
          <w:rFonts w:hint="default" w:ascii="Times New Roman" w:hAnsi="Times New Roman" w:eastAsia="仿宋_GB2312" w:cs="Times New Roman"/>
          <w:color w:val="auto"/>
          <w:kern w:val="0"/>
          <w:szCs w:val="21"/>
        </w:rPr>
        <w:t xml:space="preserve">                                                                            公开08表</w:t>
      </w:r>
    </w:p>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xml:space="preserve">                                                                                                                           </w:t>
      </w:r>
      <w:r>
        <w:rPr>
          <w:rFonts w:hint="default" w:ascii="Times New Roman" w:hAnsi="Times New Roman" w:eastAsia="仿宋_GB2312" w:cs="Times New Roman"/>
          <w:color w:val="auto"/>
          <w:kern w:val="0"/>
          <w:szCs w:val="21"/>
        </w:rPr>
        <w:t>单位：万元</w:t>
      </w:r>
    </w:p>
    <w:tbl>
      <w:tblPr>
        <w:tblStyle w:val="7"/>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hint="default" w:ascii="Times New Roman" w:hAnsi="Times New Roman" w:eastAsia="仿宋_GB2312" w:cs="Times New Roman"/>
                <w:b/>
                <w:color w:val="auto"/>
                <w:kern w:val="0"/>
                <w:szCs w:val="21"/>
              </w:rPr>
            </w:pPr>
            <w:r>
              <w:rPr>
                <w:rFonts w:hint="default" w:ascii="Times New Roman" w:hAnsi="Times New Roman" w:eastAsia="仿宋_GB2312" w:cs="Times New Roman"/>
                <w:b/>
                <w:color w:val="auto"/>
                <w:kern w:val="0"/>
                <w:szCs w:val="21"/>
              </w:rPr>
              <w:t xml:space="preserve">项 </w:t>
            </w:r>
            <w:r>
              <w:rPr>
                <w:rFonts w:hint="default" w:ascii="Times New Roman" w:hAnsi="Times New Roman" w:eastAsia="仿宋_GB2312" w:cs="Times New Roman"/>
                <w:b/>
                <w:color w:val="auto"/>
                <w:kern w:val="0"/>
                <w:szCs w:val="21"/>
              </w:rPr>
              <w:t xml:space="preserve">   </w:t>
            </w:r>
            <w:r>
              <w:rPr>
                <w:rFonts w:hint="default" w:ascii="Times New Roman" w:hAnsi="Times New Roman" w:eastAsia="仿宋_GB2312" w:cs="Times New Roman"/>
                <w:b/>
                <w:color w:val="auto"/>
                <w:kern w:val="0"/>
                <w:szCs w:val="21"/>
              </w:rPr>
              <w:t>目</w:t>
            </w:r>
          </w:p>
        </w:tc>
        <w:tc>
          <w:tcPr>
            <w:tcW w:w="2000" w:type="dxa"/>
            <w:vMerge w:val="restart"/>
            <w:shd w:val="clear" w:color="auto" w:fill="auto"/>
            <w:vAlign w:val="center"/>
          </w:tcPr>
          <w:p>
            <w:pPr>
              <w:widowControl/>
              <w:jc w:val="center"/>
              <w:rPr>
                <w:rFonts w:hint="default" w:ascii="Times New Roman" w:hAnsi="Times New Roman" w:eastAsia="仿宋_GB2312" w:cs="Times New Roman"/>
                <w:b/>
                <w:color w:val="auto"/>
                <w:kern w:val="0"/>
                <w:szCs w:val="21"/>
              </w:rPr>
            </w:pPr>
            <w:r>
              <w:rPr>
                <w:rFonts w:hint="default" w:ascii="Times New Roman" w:hAnsi="Times New Roman" w:eastAsia="仿宋_GB2312" w:cs="Times New Roman"/>
                <w:b/>
                <w:color w:val="auto"/>
                <w:kern w:val="0"/>
                <w:szCs w:val="21"/>
              </w:rPr>
              <w:t>年初结转和结余</w:t>
            </w:r>
          </w:p>
        </w:tc>
        <w:tc>
          <w:tcPr>
            <w:tcW w:w="2000" w:type="dxa"/>
            <w:vMerge w:val="restart"/>
            <w:shd w:val="clear" w:color="auto" w:fill="auto"/>
            <w:vAlign w:val="center"/>
          </w:tcPr>
          <w:p>
            <w:pPr>
              <w:widowControl/>
              <w:jc w:val="center"/>
              <w:rPr>
                <w:rFonts w:hint="default" w:ascii="Times New Roman" w:hAnsi="Times New Roman" w:eastAsia="仿宋_GB2312" w:cs="Times New Roman"/>
                <w:b/>
                <w:color w:val="auto"/>
                <w:kern w:val="0"/>
                <w:szCs w:val="21"/>
              </w:rPr>
            </w:pPr>
            <w:r>
              <w:rPr>
                <w:rFonts w:hint="default" w:ascii="Times New Roman" w:hAnsi="Times New Roman" w:eastAsia="仿宋_GB2312" w:cs="Times New Roman"/>
                <w:b/>
                <w:color w:val="auto"/>
                <w:kern w:val="0"/>
                <w:szCs w:val="21"/>
              </w:rPr>
              <w:t>本年收入</w:t>
            </w:r>
          </w:p>
        </w:tc>
        <w:tc>
          <w:tcPr>
            <w:tcW w:w="6000" w:type="dxa"/>
            <w:gridSpan w:val="3"/>
            <w:shd w:val="clear" w:color="auto" w:fill="auto"/>
            <w:vAlign w:val="center"/>
          </w:tcPr>
          <w:p>
            <w:pPr>
              <w:widowControl/>
              <w:jc w:val="center"/>
              <w:rPr>
                <w:rFonts w:hint="default" w:ascii="Times New Roman" w:hAnsi="Times New Roman" w:eastAsia="仿宋_GB2312" w:cs="Times New Roman"/>
                <w:b/>
                <w:color w:val="auto"/>
                <w:kern w:val="0"/>
                <w:szCs w:val="21"/>
              </w:rPr>
            </w:pPr>
            <w:r>
              <w:rPr>
                <w:rFonts w:hint="default" w:ascii="Times New Roman" w:hAnsi="Times New Roman" w:eastAsia="仿宋_GB2312" w:cs="Times New Roman"/>
                <w:b/>
                <w:color w:val="auto"/>
                <w:kern w:val="0"/>
                <w:szCs w:val="21"/>
              </w:rPr>
              <w:t>本年支出</w:t>
            </w:r>
          </w:p>
        </w:tc>
        <w:tc>
          <w:tcPr>
            <w:tcW w:w="2000" w:type="dxa"/>
            <w:vMerge w:val="restart"/>
            <w:shd w:val="clear" w:color="auto" w:fill="auto"/>
            <w:vAlign w:val="center"/>
          </w:tcPr>
          <w:p>
            <w:pPr>
              <w:widowControl/>
              <w:jc w:val="center"/>
              <w:rPr>
                <w:rFonts w:hint="default" w:ascii="Times New Roman" w:hAnsi="Times New Roman" w:eastAsia="仿宋_GB2312" w:cs="Times New Roman"/>
                <w:b/>
                <w:color w:val="auto"/>
                <w:kern w:val="0"/>
                <w:szCs w:val="21"/>
              </w:rPr>
            </w:pPr>
            <w:r>
              <w:rPr>
                <w:rFonts w:hint="default" w:ascii="Times New Roman" w:hAnsi="Times New Roman" w:eastAsia="仿宋_GB2312" w:cs="Times New Roman"/>
                <w:b/>
                <w:color w:val="auto"/>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shd w:val="clear" w:color="auto" w:fill="auto"/>
            <w:vAlign w:val="center"/>
          </w:tcPr>
          <w:p>
            <w:pPr>
              <w:widowControl/>
              <w:jc w:val="center"/>
              <w:rPr>
                <w:rFonts w:hint="default" w:ascii="Times New Roman" w:hAnsi="Times New Roman" w:eastAsia="仿宋_GB2312" w:cs="Times New Roman"/>
                <w:b/>
                <w:color w:val="auto"/>
                <w:kern w:val="0"/>
                <w:szCs w:val="21"/>
              </w:rPr>
            </w:pPr>
            <w:r>
              <w:rPr>
                <w:rFonts w:hint="default" w:ascii="Times New Roman" w:hAnsi="Times New Roman" w:eastAsia="仿宋_GB2312" w:cs="Times New Roman"/>
                <w:b/>
                <w:color w:val="auto"/>
                <w:kern w:val="0"/>
                <w:szCs w:val="21"/>
              </w:rPr>
              <w:t>功能分类科目编码</w:t>
            </w:r>
          </w:p>
        </w:tc>
        <w:tc>
          <w:tcPr>
            <w:tcW w:w="1320" w:type="dxa"/>
            <w:vMerge w:val="restart"/>
            <w:shd w:val="clear" w:color="auto" w:fill="auto"/>
            <w:vAlign w:val="center"/>
          </w:tcPr>
          <w:p>
            <w:pPr>
              <w:widowControl/>
              <w:jc w:val="center"/>
              <w:rPr>
                <w:rFonts w:hint="default" w:ascii="Times New Roman" w:hAnsi="Times New Roman" w:eastAsia="仿宋_GB2312" w:cs="Times New Roman"/>
                <w:b/>
                <w:color w:val="auto"/>
                <w:kern w:val="0"/>
                <w:szCs w:val="21"/>
              </w:rPr>
            </w:pPr>
            <w:r>
              <w:rPr>
                <w:rFonts w:hint="default" w:ascii="Times New Roman" w:hAnsi="Times New Roman" w:eastAsia="仿宋_GB2312" w:cs="Times New Roman"/>
                <w:b/>
                <w:color w:val="auto"/>
                <w:kern w:val="0"/>
                <w:szCs w:val="21"/>
              </w:rPr>
              <w:t>科目名称</w:t>
            </w:r>
          </w:p>
        </w:tc>
        <w:tc>
          <w:tcPr>
            <w:tcW w:w="2000" w:type="dxa"/>
            <w:vMerge w:val="continue"/>
            <w:vAlign w:val="center"/>
          </w:tcPr>
          <w:p>
            <w:pPr>
              <w:widowControl/>
              <w:jc w:val="left"/>
              <w:rPr>
                <w:rFonts w:hint="default" w:ascii="Times New Roman" w:hAnsi="Times New Roman" w:eastAsia="仿宋_GB2312" w:cs="Times New Roman"/>
                <w:b/>
                <w:color w:val="auto"/>
                <w:kern w:val="0"/>
                <w:szCs w:val="21"/>
              </w:rPr>
            </w:pPr>
          </w:p>
        </w:tc>
        <w:tc>
          <w:tcPr>
            <w:tcW w:w="2000" w:type="dxa"/>
            <w:vMerge w:val="continue"/>
            <w:vAlign w:val="center"/>
          </w:tcPr>
          <w:p>
            <w:pPr>
              <w:widowControl/>
              <w:jc w:val="left"/>
              <w:rPr>
                <w:rFonts w:hint="default" w:ascii="Times New Roman" w:hAnsi="Times New Roman" w:eastAsia="仿宋_GB2312" w:cs="Times New Roman"/>
                <w:b/>
                <w:color w:val="auto"/>
                <w:kern w:val="0"/>
                <w:szCs w:val="21"/>
              </w:rPr>
            </w:pPr>
          </w:p>
        </w:tc>
        <w:tc>
          <w:tcPr>
            <w:tcW w:w="2000" w:type="dxa"/>
            <w:vMerge w:val="restart"/>
            <w:shd w:val="clear" w:color="auto" w:fill="auto"/>
            <w:vAlign w:val="center"/>
          </w:tcPr>
          <w:p>
            <w:pPr>
              <w:widowControl/>
              <w:jc w:val="center"/>
              <w:rPr>
                <w:rFonts w:hint="default" w:ascii="Times New Roman" w:hAnsi="Times New Roman" w:eastAsia="仿宋_GB2312" w:cs="Times New Roman"/>
                <w:b/>
                <w:color w:val="auto"/>
                <w:kern w:val="0"/>
                <w:szCs w:val="21"/>
              </w:rPr>
            </w:pPr>
            <w:r>
              <w:rPr>
                <w:rFonts w:hint="default" w:ascii="Times New Roman" w:hAnsi="Times New Roman" w:eastAsia="仿宋_GB2312" w:cs="Times New Roman"/>
                <w:b/>
                <w:color w:val="auto"/>
                <w:kern w:val="0"/>
                <w:szCs w:val="21"/>
              </w:rPr>
              <w:t>小计</w:t>
            </w:r>
          </w:p>
        </w:tc>
        <w:tc>
          <w:tcPr>
            <w:tcW w:w="2000" w:type="dxa"/>
            <w:vMerge w:val="restart"/>
            <w:shd w:val="clear" w:color="auto" w:fill="auto"/>
            <w:vAlign w:val="center"/>
          </w:tcPr>
          <w:p>
            <w:pPr>
              <w:widowControl/>
              <w:jc w:val="center"/>
              <w:rPr>
                <w:rFonts w:hint="default" w:ascii="Times New Roman" w:hAnsi="Times New Roman" w:eastAsia="仿宋_GB2312" w:cs="Times New Roman"/>
                <w:b/>
                <w:color w:val="auto"/>
                <w:kern w:val="0"/>
                <w:szCs w:val="21"/>
              </w:rPr>
            </w:pPr>
            <w:r>
              <w:rPr>
                <w:rFonts w:hint="default" w:ascii="Times New Roman" w:hAnsi="Times New Roman" w:eastAsia="仿宋_GB2312" w:cs="Times New Roman"/>
                <w:b/>
                <w:color w:val="auto"/>
                <w:kern w:val="0"/>
                <w:szCs w:val="21"/>
              </w:rPr>
              <w:t xml:space="preserve">基本支出  </w:t>
            </w:r>
          </w:p>
        </w:tc>
        <w:tc>
          <w:tcPr>
            <w:tcW w:w="2000" w:type="dxa"/>
            <w:vMerge w:val="restart"/>
            <w:shd w:val="clear" w:color="auto" w:fill="auto"/>
            <w:vAlign w:val="center"/>
          </w:tcPr>
          <w:p>
            <w:pPr>
              <w:widowControl/>
              <w:jc w:val="center"/>
              <w:rPr>
                <w:rFonts w:hint="default" w:ascii="Times New Roman" w:hAnsi="Times New Roman" w:eastAsia="仿宋_GB2312" w:cs="Times New Roman"/>
                <w:b/>
                <w:color w:val="auto"/>
                <w:kern w:val="0"/>
                <w:szCs w:val="21"/>
              </w:rPr>
            </w:pPr>
            <w:r>
              <w:rPr>
                <w:rFonts w:hint="default" w:ascii="Times New Roman" w:hAnsi="Times New Roman" w:eastAsia="仿宋_GB2312" w:cs="Times New Roman"/>
                <w:b/>
                <w:color w:val="auto"/>
                <w:kern w:val="0"/>
                <w:szCs w:val="21"/>
              </w:rPr>
              <w:t>项目支出</w:t>
            </w:r>
          </w:p>
        </w:tc>
        <w:tc>
          <w:tcPr>
            <w:tcW w:w="2000" w:type="dxa"/>
            <w:vMerge w:val="continue"/>
            <w:vAlign w:val="center"/>
          </w:tcPr>
          <w:p>
            <w:pPr>
              <w:widowControl/>
              <w:jc w:val="left"/>
              <w:rPr>
                <w:rFonts w:hint="default" w:ascii="Times New Roman" w:hAnsi="Times New Roman" w:eastAsia="仿宋_GB2312" w:cs="Times New Roman"/>
                <w:b/>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hint="default" w:ascii="Times New Roman" w:hAnsi="Times New Roman" w:eastAsia="仿宋_GB2312" w:cs="Times New Roman"/>
                <w:color w:val="auto"/>
                <w:kern w:val="0"/>
                <w:szCs w:val="21"/>
              </w:rPr>
            </w:pPr>
          </w:p>
        </w:tc>
        <w:tc>
          <w:tcPr>
            <w:tcW w:w="1320" w:type="dxa"/>
            <w:vMerge w:val="continue"/>
            <w:vAlign w:val="center"/>
          </w:tcPr>
          <w:p>
            <w:pPr>
              <w:widowControl/>
              <w:jc w:val="left"/>
              <w:rPr>
                <w:rFonts w:hint="default" w:ascii="Times New Roman" w:hAnsi="Times New Roman" w:eastAsia="仿宋_GB2312" w:cs="Times New Roman"/>
                <w:color w:val="auto"/>
                <w:kern w:val="0"/>
                <w:szCs w:val="21"/>
              </w:rPr>
            </w:pPr>
          </w:p>
        </w:tc>
        <w:tc>
          <w:tcPr>
            <w:tcW w:w="2000" w:type="dxa"/>
            <w:vMerge w:val="continue"/>
            <w:vAlign w:val="center"/>
          </w:tcPr>
          <w:p>
            <w:pPr>
              <w:widowControl/>
              <w:jc w:val="left"/>
              <w:rPr>
                <w:rFonts w:hint="default" w:ascii="Times New Roman" w:hAnsi="Times New Roman" w:eastAsia="仿宋_GB2312" w:cs="Times New Roman"/>
                <w:color w:val="auto"/>
                <w:kern w:val="0"/>
                <w:szCs w:val="21"/>
              </w:rPr>
            </w:pPr>
          </w:p>
        </w:tc>
        <w:tc>
          <w:tcPr>
            <w:tcW w:w="2000" w:type="dxa"/>
            <w:vMerge w:val="continue"/>
            <w:vAlign w:val="center"/>
          </w:tcPr>
          <w:p>
            <w:pPr>
              <w:widowControl/>
              <w:jc w:val="left"/>
              <w:rPr>
                <w:rFonts w:hint="default" w:ascii="Times New Roman" w:hAnsi="Times New Roman" w:eastAsia="仿宋_GB2312" w:cs="Times New Roman"/>
                <w:color w:val="auto"/>
                <w:kern w:val="0"/>
                <w:szCs w:val="21"/>
              </w:rPr>
            </w:pPr>
          </w:p>
        </w:tc>
        <w:tc>
          <w:tcPr>
            <w:tcW w:w="2000" w:type="dxa"/>
            <w:vMerge w:val="continue"/>
            <w:vAlign w:val="center"/>
          </w:tcPr>
          <w:p>
            <w:pPr>
              <w:widowControl/>
              <w:jc w:val="left"/>
              <w:rPr>
                <w:rFonts w:hint="default" w:ascii="Times New Roman" w:hAnsi="Times New Roman" w:eastAsia="仿宋_GB2312" w:cs="Times New Roman"/>
                <w:color w:val="auto"/>
                <w:kern w:val="0"/>
                <w:szCs w:val="21"/>
              </w:rPr>
            </w:pPr>
          </w:p>
        </w:tc>
        <w:tc>
          <w:tcPr>
            <w:tcW w:w="2000" w:type="dxa"/>
            <w:vMerge w:val="continue"/>
            <w:vAlign w:val="center"/>
          </w:tcPr>
          <w:p>
            <w:pPr>
              <w:widowControl/>
              <w:jc w:val="left"/>
              <w:rPr>
                <w:rFonts w:hint="default" w:ascii="Times New Roman" w:hAnsi="Times New Roman" w:eastAsia="仿宋_GB2312" w:cs="Times New Roman"/>
                <w:color w:val="auto"/>
                <w:kern w:val="0"/>
                <w:szCs w:val="21"/>
              </w:rPr>
            </w:pPr>
          </w:p>
        </w:tc>
        <w:tc>
          <w:tcPr>
            <w:tcW w:w="2000" w:type="dxa"/>
            <w:vMerge w:val="continue"/>
            <w:vAlign w:val="center"/>
          </w:tcPr>
          <w:p>
            <w:pPr>
              <w:widowControl/>
              <w:jc w:val="left"/>
              <w:rPr>
                <w:rFonts w:hint="default" w:ascii="Times New Roman" w:hAnsi="Times New Roman" w:eastAsia="仿宋_GB2312" w:cs="Times New Roman"/>
                <w:color w:val="auto"/>
                <w:kern w:val="0"/>
                <w:szCs w:val="21"/>
              </w:rPr>
            </w:pPr>
          </w:p>
        </w:tc>
        <w:tc>
          <w:tcPr>
            <w:tcW w:w="2000" w:type="dxa"/>
            <w:vMerge w:val="continue"/>
            <w:vAlign w:val="center"/>
          </w:tcPr>
          <w:p>
            <w:pPr>
              <w:widowControl/>
              <w:jc w:val="left"/>
              <w:rPr>
                <w:rFonts w:hint="default" w:ascii="Times New Roman" w:hAnsi="Times New Roman" w:eastAsia="仿宋_GB2312" w:cs="Times New Roman"/>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hint="default" w:ascii="Times New Roman" w:hAnsi="Times New Roman" w:eastAsia="仿宋_GB2312" w:cs="Times New Roman"/>
                <w:color w:val="auto"/>
                <w:kern w:val="0"/>
                <w:szCs w:val="21"/>
              </w:rPr>
            </w:pPr>
          </w:p>
        </w:tc>
        <w:tc>
          <w:tcPr>
            <w:tcW w:w="1320" w:type="dxa"/>
            <w:vMerge w:val="continue"/>
            <w:vAlign w:val="center"/>
          </w:tcPr>
          <w:p>
            <w:pPr>
              <w:widowControl/>
              <w:jc w:val="left"/>
              <w:rPr>
                <w:rFonts w:hint="default" w:ascii="Times New Roman" w:hAnsi="Times New Roman" w:eastAsia="仿宋_GB2312" w:cs="Times New Roman"/>
                <w:color w:val="auto"/>
                <w:kern w:val="0"/>
                <w:szCs w:val="21"/>
              </w:rPr>
            </w:pPr>
          </w:p>
        </w:tc>
        <w:tc>
          <w:tcPr>
            <w:tcW w:w="2000" w:type="dxa"/>
            <w:vMerge w:val="continue"/>
            <w:vAlign w:val="center"/>
          </w:tcPr>
          <w:p>
            <w:pPr>
              <w:widowControl/>
              <w:jc w:val="left"/>
              <w:rPr>
                <w:rFonts w:hint="default" w:ascii="Times New Roman" w:hAnsi="Times New Roman" w:eastAsia="仿宋_GB2312" w:cs="Times New Roman"/>
                <w:color w:val="auto"/>
                <w:kern w:val="0"/>
                <w:szCs w:val="21"/>
              </w:rPr>
            </w:pPr>
          </w:p>
        </w:tc>
        <w:tc>
          <w:tcPr>
            <w:tcW w:w="2000" w:type="dxa"/>
            <w:vMerge w:val="continue"/>
            <w:vAlign w:val="center"/>
          </w:tcPr>
          <w:p>
            <w:pPr>
              <w:widowControl/>
              <w:jc w:val="left"/>
              <w:rPr>
                <w:rFonts w:hint="default" w:ascii="Times New Roman" w:hAnsi="Times New Roman" w:eastAsia="仿宋_GB2312" w:cs="Times New Roman"/>
                <w:color w:val="auto"/>
                <w:kern w:val="0"/>
                <w:szCs w:val="21"/>
              </w:rPr>
            </w:pPr>
          </w:p>
        </w:tc>
        <w:tc>
          <w:tcPr>
            <w:tcW w:w="2000" w:type="dxa"/>
            <w:vMerge w:val="continue"/>
            <w:vAlign w:val="center"/>
          </w:tcPr>
          <w:p>
            <w:pPr>
              <w:widowControl/>
              <w:jc w:val="left"/>
              <w:rPr>
                <w:rFonts w:hint="default" w:ascii="Times New Roman" w:hAnsi="Times New Roman" w:eastAsia="仿宋_GB2312" w:cs="Times New Roman"/>
                <w:color w:val="auto"/>
                <w:kern w:val="0"/>
                <w:szCs w:val="21"/>
              </w:rPr>
            </w:pPr>
          </w:p>
        </w:tc>
        <w:tc>
          <w:tcPr>
            <w:tcW w:w="2000" w:type="dxa"/>
            <w:vMerge w:val="continue"/>
            <w:vAlign w:val="center"/>
          </w:tcPr>
          <w:p>
            <w:pPr>
              <w:widowControl/>
              <w:jc w:val="left"/>
              <w:rPr>
                <w:rFonts w:hint="default" w:ascii="Times New Roman" w:hAnsi="Times New Roman" w:eastAsia="仿宋_GB2312" w:cs="Times New Roman"/>
                <w:color w:val="auto"/>
                <w:kern w:val="0"/>
                <w:szCs w:val="21"/>
              </w:rPr>
            </w:pPr>
          </w:p>
        </w:tc>
        <w:tc>
          <w:tcPr>
            <w:tcW w:w="2000" w:type="dxa"/>
            <w:vMerge w:val="continue"/>
            <w:vAlign w:val="center"/>
          </w:tcPr>
          <w:p>
            <w:pPr>
              <w:widowControl/>
              <w:jc w:val="left"/>
              <w:rPr>
                <w:rFonts w:hint="default" w:ascii="Times New Roman" w:hAnsi="Times New Roman" w:eastAsia="仿宋_GB2312" w:cs="Times New Roman"/>
                <w:color w:val="auto"/>
                <w:kern w:val="0"/>
                <w:szCs w:val="21"/>
              </w:rPr>
            </w:pPr>
          </w:p>
        </w:tc>
        <w:tc>
          <w:tcPr>
            <w:tcW w:w="2000" w:type="dxa"/>
            <w:vMerge w:val="continue"/>
            <w:vAlign w:val="center"/>
          </w:tcPr>
          <w:p>
            <w:pPr>
              <w:widowControl/>
              <w:jc w:val="left"/>
              <w:rPr>
                <w:rFonts w:hint="default" w:ascii="Times New Roman" w:hAnsi="Times New Roman" w:eastAsia="仿宋_GB2312" w:cs="Times New Roman"/>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栏次</w:t>
            </w:r>
          </w:p>
        </w:tc>
        <w:tc>
          <w:tcPr>
            <w:tcW w:w="2000" w:type="dxa"/>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1</w:t>
            </w:r>
          </w:p>
        </w:tc>
        <w:tc>
          <w:tcPr>
            <w:tcW w:w="2000" w:type="dxa"/>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2</w:t>
            </w:r>
          </w:p>
        </w:tc>
        <w:tc>
          <w:tcPr>
            <w:tcW w:w="2000" w:type="dxa"/>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3</w:t>
            </w:r>
          </w:p>
        </w:tc>
        <w:tc>
          <w:tcPr>
            <w:tcW w:w="2000" w:type="dxa"/>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4</w:t>
            </w:r>
          </w:p>
        </w:tc>
        <w:tc>
          <w:tcPr>
            <w:tcW w:w="2000" w:type="dxa"/>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5</w:t>
            </w:r>
          </w:p>
        </w:tc>
        <w:tc>
          <w:tcPr>
            <w:tcW w:w="2000" w:type="dxa"/>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合计</w:t>
            </w:r>
          </w:p>
        </w:tc>
        <w:tc>
          <w:tcPr>
            <w:tcW w:w="2000" w:type="dxa"/>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无</w:t>
            </w:r>
          </w:p>
        </w:tc>
        <w:tc>
          <w:tcPr>
            <w:tcW w:w="2000" w:type="dxa"/>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无</w:t>
            </w:r>
          </w:p>
        </w:tc>
        <w:tc>
          <w:tcPr>
            <w:tcW w:w="2000" w:type="dxa"/>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无</w:t>
            </w:r>
          </w:p>
        </w:tc>
        <w:tc>
          <w:tcPr>
            <w:tcW w:w="2000" w:type="dxa"/>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无</w:t>
            </w:r>
          </w:p>
        </w:tc>
        <w:tc>
          <w:tcPr>
            <w:tcW w:w="2000" w:type="dxa"/>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无</w:t>
            </w:r>
          </w:p>
        </w:tc>
        <w:tc>
          <w:tcPr>
            <w:tcW w:w="2000" w:type="dxa"/>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无</w:t>
            </w:r>
          </w:p>
        </w:tc>
        <w:tc>
          <w:tcPr>
            <w:tcW w:w="1320" w:type="dxa"/>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无</w:t>
            </w:r>
          </w:p>
        </w:tc>
        <w:tc>
          <w:tcPr>
            <w:tcW w:w="2000" w:type="dxa"/>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无</w:t>
            </w:r>
          </w:p>
        </w:tc>
        <w:tc>
          <w:tcPr>
            <w:tcW w:w="2000" w:type="dxa"/>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无</w:t>
            </w:r>
          </w:p>
        </w:tc>
        <w:tc>
          <w:tcPr>
            <w:tcW w:w="2000" w:type="dxa"/>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无</w:t>
            </w:r>
          </w:p>
        </w:tc>
        <w:tc>
          <w:tcPr>
            <w:tcW w:w="2000" w:type="dxa"/>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无</w:t>
            </w:r>
          </w:p>
        </w:tc>
        <w:tc>
          <w:tcPr>
            <w:tcW w:w="2000" w:type="dxa"/>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无</w:t>
            </w:r>
          </w:p>
        </w:tc>
        <w:tc>
          <w:tcPr>
            <w:tcW w:w="2000" w:type="dxa"/>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c>
          <w:tcPr>
            <w:tcW w:w="1320" w:type="dxa"/>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c>
          <w:tcPr>
            <w:tcW w:w="1320" w:type="dxa"/>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c>
          <w:tcPr>
            <w:tcW w:w="1320" w:type="dxa"/>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c>
          <w:tcPr>
            <w:tcW w:w="1320" w:type="dxa"/>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c>
          <w:tcPr>
            <w:tcW w:w="1320" w:type="dxa"/>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r>
    </w:tbl>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注：本表反映部门本年度政府性基金预算财政拨款收入、支出及结转和结余情况</w:t>
      </w:r>
    </w:p>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说明：湖南省新闻出版广电局岳阳中波转播台没有政府性基金收入，也没有使用政府性基金安排的支出，故本表无数据。</w:t>
      </w:r>
    </w:p>
    <w:p>
      <w:pPr>
        <w:widowControl/>
        <w:jc w:val="left"/>
        <w:rPr>
          <w:rFonts w:hint="default" w:ascii="Times New Roman" w:hAnsi="Times New Roman" w:eastAsia="黑体" w:cs="Times New Roman"/>
          <w:color w:val="auto"/>
          <w:szCs w:val="21"/>
        </w:rPr>
      </w:pPr>
      <w:r>
        <w:rPr>
          <w:rFonts w:hint="default" w:ascii="Times New Roman" w:hAnsi="Times New Roman" w:eastAsia="黑体" w:cs="Times New Roman"/>
          <w:color w:val="auto"/>
          <w:szCs w:val="21"/>
        </w:rPr>
        <w:br w:type="page"/>
      </w:r>
    </w:p>
    <w:tbl>
      <w:tblPr>
        <w:tblStyle w:val="7"/>
        <w:tblW w:w="14190" w:type="dxa"/>
        <w:tblInd w:w="93" w:type="dxa"/>
        <w:tblLayout w:type="autofit"/>
        <w:tblCellMar>
          <w:top w:w="0" w:type="dxa"/>
          <w:left w:w="108" w:type="dxa"/>
          <w:bottom w:w="0" w:type="dxa"/>
          <w:right w:w="108" w:type="dxa"/>
        </w:tblCellMar>
      </w:tblPr>
      <w:tblGrid>
        <w:gridCol w:w="1060"/>
        <w:gridCol w:w="240"/>
        <w:gridCol w:w="1409"/>
        <w:gridCol w:w="2430"/>
        <w:gridCol w:w="921"/>
        <w:gridCol w:w="1326"/>
        <w:gridCol w:w="1294"/>
        <w:gridCol w:w="1683"/>
        <w:gridCol w:w="3827"/>
      </w:tblGrid>
      <w:tr>
        <w:tblPrEx>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hint="default" w:ascii="Times New Roman" w:hAnsi="Times New Roman" w:eastAsia="华文中宋" w:cs="Times New Roman"/>
                <w:color w:val="auto"/>
                <w:kern w:val="0"/>
                <w:sz w:val="32"/>
                <w:szCs w:val="32"/>
              </w:rPr>
            </w:pPr>
            <w:r>
              <w:rPr>
                <w:rFonts w:hint="default" w:ascii="Times New Roman" w:hAnsi="Times New Roman" w:eastAsia="华文中宋" w:cs="Times New Roman"/>
                <w:color w:val="auto"/>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　</w:t>
            </w:r>
          </w:p>
        </w:tc>
        <w:tc>
          <w:tcPr>
            <w:tcW w:w="240" w:type="dxa"/>
            <w:tcBorders>
              <w:top w:val="nil"/>
              <w:left w:val="nil"/>
              <w:bottom w:val="nil"/>
              <w:right w:val="nil"/>
            </w:tcBorders>
            <w:shd w:val="clear" w:color="000000" w:fill="FFFFFF"/>
            <w:vAlign w:val="center"/>
          </w:tcPr>
          <w:p>
            <w:pPr>
              <w:widowControl/>
              <w:jc w:val="center"/>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　</w:t>
            </w:r>
          </w:p>
        </w:tc>
        <w:tc>
          <w:tcPr>
            <w:tcW w:w="3839" w:type="dxa"/>
            <w:gridSpan w:val="2"/>
            <w:tcBorders>
              <w:top w:val="nil"/>
              <w:left w:val="nil"/>
              <w:bottom w:val="nil"/>
              <w:right w:val="nil"/>
            </w:tcBorders>
            <w:shd w:val="clear" w:color="000000" w:fill="FFFFFF"/>
            <w:vAlign w:val="center"/>
          </w:tcPr>
          <w:p>
            <w:pPr>
              <w:widowControl/>
              <w:jc w:val="center"/>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　</w:t>
            </w:r>
          </w:p>
        </w:tc>
        <w:tc>
          <w:tcPr>
            <w:tcW w:w="921" w:type="dxa"/>
            <w:tcBorders>
              <w:top w:val="nil"/>
              <w:left w:val="nil"/>
              <w:bottom w:val="nil"/>
              <w:right w:val="nil"/>
            </w:tcBorders>
            <w:shd w:val="clear" w:color="000000" w:fill="FFFFFF"/>
            <w:vAlign w:val="center"/>
          </w:tcPr>
          <w:p>
            <w:pPr>
              <w:widowControl/>
              <w:jc w:val="left"/>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公开09表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noWrap/>
            <w:vAlign w:val="center"/>
          </w:tcPr>
          <w:p>
            <w:pPr>
              <w:widowControl/>
              <w:jc w:val="left"/>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部门：</w:t>
            </w:r>
          </w:p>
        </w:tc>
        <w:tc>
          <w:tcPr>
            <w:tcW w:w="240" w:type="dxa"/>
            <w:tcBorders>
              <w:top w:val="nil"/>
              <w:left w:val="nil"/>
              <w:bottom w:val="nil"/>
              <w:right w:val="nil"/>
            </w:tcBorders>
            <w:shd w:val="clear" w:color="000000" w:fill="FFFFFF"/>
            <w:vAlign w:val="center"/>
          </w:tcPr>
          <w:p>
            <w:pPr>
              <w:widowControl/>
              <w:jc w:val="center"/>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　</w:t>
            </w:r>
          </w:p>
        </w:tc>
        <w:tc>
          <w:tcPr>
            <w:tcW w:w="3839" w:type="dxa"/>
            <w:gridSpan w:val="2"/>
            <w:tcBorders>
              <w:top w:val="nil"/>
              <w:left w:val="nil"/>
              <w:bottom w:val="nil"/>
              <w:right w:val="nil"/>
            </w:tcBorders>
            <w:shd w:val="clear" w:color="000000" w:fill="FFFFFF"/>
            <w:vAlign w:val="center"/>
          </w:tcPr>
          <w:p>
            <w:pPr>
              <w:widowControl/>
              <w:jc w:val="center"/>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湖南省新闻出版广电局岳阳中波转播台</w:t>
            </w:r>
            <w:r>
              <w:rPr>
                <w:rFonts w:hint="default" w:ascii="Times New Roman" w:hAnsi="Times New Roman" w:eastAsia="仿宋_GB2312" w:cs="Times New Roman"/>
                <w:color w:val="auto"/>
                <w:kern w:val="0"/>
                <w:szCs w:val="21"/>
              </w:rPr>
              <w:t xml:space="preserve"> </w:t>
            </w:r>
          </w:p>
        </w:tc>
        <w:tc>
          <w:tcPr>
            <w:tcW w:w="921" w:type="dxa"/>
            <w:tcBorders>
              <w:top w:val="nil"/>
              <w:left w:val="nil"/>
              <w:bottom w:val="single" w:color="auto" w:sz="8" w:space="0"/>
              <w:right w:val="nil"/>
            </w:tcBorders>
            <w:shd w:val="clear" w:color="000000" w:fill="FFFFFF"/>
            <w:vAlign w:val="center"/>
          </w:tcPr>
          <w:p>
            <w:pPr>
              <w:widowControl/>
              <w:jc w:val="left"/>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单位：万元</w:t>
            </w:r>
          </w:p>
        </w:tc>
      </w:tr>
      <w:tr>
        <w:tblPrEx>
          <w:tblCellMar>
            <w:top w:w="0" w:type="dxa"/>
            <w:left w:w="108" w:type="dxa"/>
            <w:bottom w:w="0" w:type="dxa"/>
            <w:right w:w="108" w:type="dxa"/>
          </w:tblCellMar>
        </w:tblPrEx>
        <w:trPr>
          <w:trHeight w:val="402" w:hRule="atLeast"/>
        </w:trPr>
        <w:tc>
          <w:tcPr>
            <w:tcW w:w="5139"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xml:space="preserve">项 </w:t>
            </w:r>
            <w:r>
              <w:rPr>
                <w:rFonts w:hint="default" w:ascii="Times New Roman" w:hAnsi="Times New Roman" w:eastAsia="宋体" w:cs="Times New Roman"/>
                <w:color w:val="auto"/>
                <w:kern w:val="0"/>
                <w:sz w:val="22"/>
              </w:rPr>
              <w:t xml:space="preserve">   </w:t>
            </w:r>
            <w:r>
              <w:rPr>
                <w:rFonts w:hint="default" w:ascii="Times New Roman" w:hAnsi="Times New Roman" w:eastAsia="宋体" w:cs="Times New Roman"/>
                <w:color w:val="auto"/>
                <w:kern w:val="0"/>
                <w:sz w:val="24"/>
                <w:szCs w:val="24"/>
              </w:rPr>
              <w:t>目</w:t>
            </w:r>
          </w:p>
        </w:tc>
        <w:tc>
          <w:tcPr>
            <w:tcW w:w="9051"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功能分类科目编码</w:t>
            </w:r>
          </w:p>
        </w:tc>
        <w:tc>
          <w:tcPr>
            <w:tcW w:w="243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科目名称</w:t>
            </w:r>
          </w:p>
        </w:tc>
        <w:tc>
          <w:tcPr>
            <w:tcW w:w="224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hint="default" w:ascii="Times New Roman" w:hAnsi="Times New Roman" w:eastAsia="宋体" w:cs="Times New Roman"/>
                <w:color w:val="auto"/>
                <w:kern w:val="0"/>
                <w:sz w:val="24"/>
                <w:szCs w:val="24"/>
              </w:rPr>
            </w:pPr>
          </w:p>
        </w:tc>
        <w:tc>
          <w:tcPr>
            <w:tcW w:w="2430"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color w:val="auto"/>
                <w:kern w:val="0"/>
                <w:sz w:val="24"/>
                <w:szCs w:val="24"/>
              </w:rPr>
            </w:pPr>
          </w:p>
        </w:tc>
        <w:tc>
          <w:tcPr>
            <w:tcW w:w="224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eastAsia="宋体" w:cs="Times New Roman"/>
                <w:color w:val="auto"/>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eastAsia="宋体" w:cs="Times New Roman"/>
                <w:color w:val="auto"/>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eastAsia="宋体" w:cs="Times New Roman"/>
                <w:color w:val="auto"/>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hint="default" w:ascii="Times New Roman" w:hAnsi="Times New Roman" w:eastAsia="宋体" w:cs="Times New Roman"/>
                <w:color w:val="auto"/>
                <w:kern w:val="0"/>
                <w:sz w:val="24"/>
                <w:szCs w:val="24"/>
              </w:rPr>
            </w:pPr>
          </w:p>
        </w:tc>
        <w:tc>
          <w:tcPr>
            <w:tcW w:w="2430"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color w:val="auto"/>
                <w:kern w:val="0"/>
                <w:sz w:val="24"/>
                <w:szCs w:val="24"/>
              </w:rPr>
            </w:pPr>
          </w:p>
        </w:tc>
        <w:tc>
          <w:tcPr>
            <w:tcW w:w="224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eastAsia="宋体" w:cs="Times New Roman"/>
                <w:color w:val="auto"/>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eastAsia="宋体" w:cs="Times New Roman"/>
                <w:color w:val="auto"/>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eastAsia="宋体" w:cs="Times New Roman"/>
                <w:color w:val="auto"/>
                <w:kern w:val="0"/>
                <w:sz w:val="24"/>
                <w:szCs w:val="24"/>
              </w:rPr>
            </w:pPr>
          </w:p>
        </w:tc>
      </w:tr>
      <w:tr>
        <w:tblPrEx>
          <w:tblCellMar>
            <w:top w:w="0" w:type="dxa"/>
            <w:left w:w="108" w:type="dxa"/>
            <w:bottom w:w="0" w:type="dxa"/>
            <w:right w:w="108" w:type="dxa"/>
          </w:tblCellMar>
        </w:tblPrEx>
        <w:trPr>
          <w:trHeight w:val="402" w:hRule="atLeast"/>
        </w:trPr>
        <w:tc>
          <w:tcPr>
            <w:tcW w:w="5139"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栏次</w:t>
            </w:r>
          </w:p>
        </w:tc>
        <w:tc>
          <w:tcPr>
            <w:tcW w:w="2247"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3</w:t>
            </w:r>
          </w:p>
        </w:tc>
      </w:tr>
      <w:tr>
        <w:tblPrEx>
          <w:tblCellMar>
            <w:top w:w="0" w:type="dxa"/>
            <w:left w:w="108" w:type="dxa"/>
            <w:bottom w:w="0" w:type="dxa"/>
            <w:right w:w="108" w:type="dxa"/>
          </w:tblCellMar>
        </w:tblPrEx>
        <w:trPr>
          <w:trHeight w:val="402" w:hRule="atLeast"/>
        </w:trPr>
        <w:tc>
          <w:tcPr>
            <w:tcW w:w="5139"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合计</w:t>
            </w:r>
          </w:p>
        </w:tc>
        <w:tc>
          <w:tcPr>
            <w:tcW w:w="2247"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无</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无</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无</w:t>
            </w:r>
          </w:p>
        </w:tc>
      </w:tr>
      <w:tr>
        <w:tblPrEx>
          <w:tblCellMar>
            <w:top w:w="0" w:type="dxa"/>
            <w:left w:w="108" w:type="dxa"/>
            <w:bottom w:w="0" w:type="dxa"/>
            <w:right w:w="108" w:type="dxa"/>
          </w:tblCellMar>
        </w:tblPrEx>
        <w:trPr>
          <w:trHeight w:val="402" w:hRule="atLeast"/>
        </w:trPr>
        <w:tc>
          <w:tcPr>
            <w:tcW w:w="130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无</w:t>
            </w:r>
          </w:p>
        </w:tc>
        <w:tc>
          <w:tcPr>
            <w:tcW w:w="3839"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无</w:t>
            </w:r>
          </w:p>
        </w:tc>
        <w:tc>
          <w:tcPr>
            <w:tcW w:w="2247"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无</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无</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无</w:t>
            </w:r>
          </w:p>
        </w:tc>
      </w:tr>
      <w:tr>
        <w:tblPrEx>
          <w:tblCellMar>
            <w:top w:w="0" w:type="dxa"/>
            <w:left w:w="108" w:type="dxa"/>
            <w:bottom w:w="0" w:type="dxa"/>
            <w:right w:w="108" w:type="dxa"/>
          </w:tblCellMar>
        </w:tblPrEx>
        <w:trPr>
          <w:trHeight w:val="402" w:hRule="atLeast"/>
        </w:trPr>
        <w:tc>
          <w:tcPr>
            <w:tcW w:w="130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c>
          <w:tcPr>
            <w:tcW w:w="3839"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c>
          <w:tcPr>
            <w:tcW w:w="2247"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r>
      <w:tr>
        <w:tblPrEx>
          <w:tblCellMar>
            <w:top w:w="0" w:type="dxa"/>
            <w:left w:w="108" w:type="dxa"/>
            <w:bottom w:w="0" w:type="dxa"/>
            <w:right w:w="108" w:type="dxa"/>
          </w:tblCellMar>
        </w:tblPrEx>
        <w:trPr>
          <w:trHeight w:val="402" w:hRule="atLeast"/>
        </w:trPr>
        <w:tc>
          <w:tcPr>
            <w:tcW w:w="130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c>
          <w:tcPr>
            <w:tcW w:w="3839"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　</w:t>
            </w:r>
          </w:p>
        </w:tc>
        <w:tc>
          <w:tcPr>
            <w:tcW w:w="2247"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r>
      <w:tr>
        <w:tblPrEx>
          <w:tblCellMar>
            <w:top w:w="0" w:type="dxa"/>
            <w:left w:w="108" w:type="dxa"/>
            <w:bottom w:w="0" w:type="dxa"/>
            <w:right w:w="108" w:type="dxa"/>
          </w:tblCellMar>
        </w:tblPrEx>
        <w:trPr>
          <w:trHeight w:val="402" w:hRule="atLeast"/>
        </w:trPr>
        <w:tc>
          <w:tcPr>
            <w:tcW w:w="130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c>
          <w:tcPr>
            <w:tcW w:w="3839"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c>
          <w:tcPr>
            <w:tcW w:w="2247"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r>
      <w:tr>
        <w:tblPrEx>
          <w:tblCellMar>
            <w:top w:w="0" w:type="dxa"/>
            <w:left w:w="108" w:type="dxa"/>
            <w:bottom w:w="0" w:type="dxa"/>
            <w:right w:w="108" w:type="dxa"/>
          </w:tblCellMar>
        </w:tblPrEx>
        <w:trPr>
          <w:trHeight w:val="402" w:hRule="atLeast"/>
        </w:trPr>
        <w:tc>
          <w:tcPr>
            <w:tcW w:w="130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c>
          <w:tcPr>
            <w:tcW w:w="3839"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c>
          <w:tcPr>
            <w:tcW w:w="2247"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r>
      <w:tr>
        <w:tblPrEx>
          <w:tblCellMar>
            <w:top w:w="0" w:type="dxa"/>
            <w:left w:w="108" w:type="dxa"/>
            <w:bottom w:w="0" w:type="dxa"/>
            <w:right w:w="108" w:type="dxa"/>
          </w:tblCellMar>
        </w:tblPrEx>
        <w:trPr>
          <w:trHeight w:val="402" w:hRule="atLeast"/>
        </w:trPr>
        <w:tc>
          <w:tcPr>
            <w:tcW w:w="130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c>
          <w:tcPr>
            <w:tcW w:w="3839" w:type="dxa"/>
            <w:gridSpan w:val="2"/>
            <w:tcBorders>
              <w:top w:val="nil"/>
              <w:left w:val="nil"/>
              <w:bottom w:val="single" w:color="auto" w:sz="8"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c>
          <w:tcPr>
            <w:tcW w:w="2247" w:type="dxa"/>
            <w:gridSpan w:val="2"/>
            <w:tcBorders>
              <w:top w:val="nil"/>
              <w:left w:val="nil"/>
              <w:bottom w:val="single" w:color="auto" w:sz="8"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注：本表反映部门本年度国有资本经营预算财政拨款支出情况。</w:t>
            </w:r>
          </w:p>
        </w:tc>
      </w:tr>
    </w:tbl>
    <w:p>
      <w:pPr>
        <w:widowControl/>
        <w:jc w:val="lef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说明：湖南省新闻出版广电局岳阳中波转播台没有国有资本经营预算财政拨款支出，故本表无数据。</w:t>
      </w:r>
    </w:p>
    <w:p>
      <w:pPr>
        <w:pStyle w:val="12"/>
        <w:rPr>
          <w:rFonts w:hint="default" w:ascii="Times New Roman" w:hAnsi="Times New Roman" w:cs="Times New Roman"/>
          <w:color w:val="auto"/>
          <w:sz w:val="72"/>
          <w:szCs w:val="72"/>
        </w:rPr>
        <w:sectPr>
          <w:pgSz w:w="16838" w:h="11906" w:orient="landscape"/>
          <w:pgMar w:top="720" w:right="720" w:bottom="720" w:left="720" w:header="851" w:footer="992" w:gutter="0"/>
          <w:cols w:space="425" w:num="1"/>
          <w:docGrid w:type="lines" w:linePitch="312" w:charSpace="0"/>
        </w:sectPr>
      </w:pPr>
    </w:p>
    <w:p>
      <w:pPr>
        <w:pStyle w:val="12"/>
        <w:rPr>
          <w:rFonts w:hint="default" w:ascii="Times New Roman" w:hAnsi="Times New Roman" w:cs="Times New Roman"/>
          <w:color w:val="auto"/>
          <w:sz w:val="72"/>
          <w:szCs w:val="72"/>
        </w:rPr>
      </w:pPr>
    </w:p>
    <w:p>
      <w:pPr>
        <w:pStyle w:val="12"/>
        <w:rPr>
          <w:rFonts w:hint="default" w:ascii="Times New Roman" w:hAnsi="Times New Roman" w:cs="Times New Roman"/>
          <w:color w:val="auto"/>
          <w:sz w:val="72"/>
          <w:szCs w:val="72"/>
        </w:rPr>
      </w:pPr>
    </w:p>
    <w:p>
      <w:pPr>
        <w:pStyle w:val="12"/>
        <w:rPr>
          <w:rFonts w:hint="default" w:ascii="Times New Roman" w:hAnsi="Times New Roman" w:cs="Times New Roman"/>
          <w:color w:val="auto"/>
          <w:sz w:val="72"/>
          <w:szCs w:val="72"/>
        </w:rPr>
      </w:pPr>
    </w:p>
    <w:p>
      <w:pPr>
        <w:pStyle w:val="12"/>
        <w:rPr>
          <w:rFonts w:hint="default" w:ascii="Times New Roman" w:hAnsi="Times New Roman" w:cs="Times New Roman"/>
          <w:color w:val="auto"/>
          <w:sz w:val="72"/>
          <w:szCs w:val="72"/>
        </w:rPr>
      </w:pPr>
    </w:p>
    <w:p>
      <w:pPr>
        <w:pStyle w:val="12"/>
        <w:jc w:val="center"/>
        <w:rPr>
          <w:rFonts w:hint="default" w:ascii="Times New Roman" w:hAnsi="Times New Roman" w:cs="Times New Roman"/>
          <w:color w:val="auto"/>
          <w:sz w:val="72"/>
          <w:szCs w:val="72"/>
        </w:rPr>
      </w:pPr>
    </w:p>
    <w:p>
      <w:pPr>
        <w:pStyle w:val="12"/>
        <w:jc w:val="center"/>
        <w:rPr>
          <w:rFonts w:hint="default" w:ascii="Times New Roman" w:hAnsi="Times New Roman" w:cs="Times New Roman"/>
          <w:color w:val="auto"/>
          <w:sz w:val="72"/>
          <w:szCs w:val="72"/>
        </w:rPr>
      </w:pPr>
    </w:p>
    <w:p>
      <w:pPr>
        <w:pStyle w:val="12"/>
        <w:jc w:val="center"/>
        <w:rPr>
          <w:rFonts w:hint="default" w:ascii="Times New Roman" w:hAnsi="Times New Roman" w:cs="Times New Roman"/>
          <w:color w:val="auto"/>
          <w:sz w:val="72"/>
          <w:szCs w:val="72"/>
        </w:rPr>
      </w:pPr>
      <w:r>
        <w:rPr>
          <w:rFonts w:hint="default" w:ascii="Times New Roman" w:hAnsi="Times New Roman" w:cs="Times New Roman"/>
          <w:color w:val="auto"/>
          <w:sz w:val="72"/>
          <w:szCs w:val="72"/>
        </w:rPr>
        <w:t>第三部分</w:t>
      </w:r>
    </w:p>
    <w:p>
      <w:pPr>
        <w:pStyle w:val="12"/>
        <w:jc w:val="center"/>
        <w:rPr>
          <w:rFonts w:hint="default" w:ascii="Times New Roman" w:hAnsi="Times New Roman" w:cs="Times New Roman"/>
          <w:color w:val="auto"/>
          <w:sz w:val="70"/>
          <w:szCs w:val="70"/>
        </w:rPr>
      </w:pPr>
    </w:p>
    <w:p>
      <w:pPr>
        <w:pStyle w:val="12"/>
        <w:jc w:val="center"/>
        <w:rPr>
          <w:rFonts w:hint="default" w:ascii="Times New Roman" w:hAnsi="Times New Roman" w:cs="Times New Roman"/>
          <w:color w:val="auto"/>
          <w:sz w:val="70"/>
          <w:szCs w:val="70"/>
        </w:rPr>
      </w:pPr>
      <w:r>
        <w:rPr>
          <w:rFonts w:hint="default" w:ascii="Times New Roman" w:hAnsi="Times New Roman" w:cs="Times New Roman"/>
          <w:color w:val="auto"/>
          <w:sz w:val="70"/>
          <w:szCs w:val="70"/>
        </w:rPr>
        <w:t>20</w:t>
      </w:r>
      <w:r>
        <w:rPr>
          <w:rFonts w:hint="default" w:ascii="Times New Roman" w:hAnsi="Times New Roman" w:cs="Times New Roman"/>
          <w:color w:val="auto"/>
          <w:sz w:val="70"/>
          <w:szCs w:val="70"/>
        </w:rPr>
        <w:t>20年度部门决算情况说明</w:t>
      </w:r>
    </w:p>
    <w:p>
      <w:pPr>
        <w:widowControl/>
        <w:jc w:val="left"/>
        <w:rPr>
          <w:rFonts w:hint="default" w:ascii="Times New Roman" w:hAnsi="Times New Roman" w:eastAsia="黑体" w:cs="Times New Roman"/>
          <w:color w:val="auto"/>
          <w:kern w:val="0"/>
          <w:sz w:val="70"/>
          <w:szCs w:val="70"/>
        </w:rPr>
      </w:pPr>
      <w:r>
        <w:rPr>
          <w:rFonts w:hint="default" w:ascii="Times New Roman" w:hAnsi="Times New Roman" w:cs="Times New Roman"/>
          <w:color w:val="auto"/>
          <w:sz w:val="70"/>
          <w:szCs w:val="70"/>
        </w:rPr>
        <w:br w:type="page"/>
      </w:r>
    </w:p>
    <w:p>
      <w:pPr>
        <w:pStyle w:val="12"/>
        <w:spacing w:line="360" w:lineRule="auto"/>
        <w:rPr>
          <w:rFonts w:hint="default" w:ascii="Times New Roman" w:hAnsi="Times New Roman" w:cs="Times New Roman"/>
          <w:b/>
          <w:color w:val="auto"/>
          <w:sz w:val="32"/>
          <w:szCs w:val="32"/>
        </w:rPr>
      </w:pPr>
      <w:r>
        <w:rPr>
          <w:rFonts w:hint="default" w:ascii="Times New Roman" w:hAnsi="Times New Roman" w:cs="Times New Roman"/>
          <w:b/>
          <w:color w:val="auto"/>
          <w:sz w:val="32"/>
          <w:szCs w:val="32"/>
        </w:rPr>
        <w:t>一、收入支出决算总体情况说明</w:t>
      </w:r>
    </w:p>
    <w:p>
      <w:pPr>
        <w:pStyle w:val="6"/>
        <w:widowControl/>
        <w:shd w:val="clear" w:color="auto" w:fill="FFFFFF"/>
        <w:spacing w:beforeAutospacing="0" w:afterAutospacing="0" w:line="360" w:lineRule="auto"/>
        <w:ind w:firstLine="570"/>
        <w:rPr>
          <w:rFonts w:hint="default" w:ascii="Times New Roman" w:hAnsi="Times New Roman" w:cs="Times New Roman"/>
          <w:bCs/>
          <w:color w:val="auto"/>
          <w:sz w:val="32"/>
          <w:szCs w:val="32"/>
          <w:shd w:val="clear" w:color="auto" w:fill="FFFFFF"/>
        </w:rPr>
      </w:pPr>
      <w:r>
        <w:rPr>
          <w:rFonts w:hint="default" w:ascii="Times New Roman" w:hAnsi="Times New Roman" w:cs="Times New Roman"/>
          <w:bCs/>
          <w:color w:val="auto"/>
          <w:sz w:val="32"/>
          <w:szCs w:val="32"/>
          <w:shd w:val="clear" w:color="auto" w:fill="FFFFFF"/>
        </w:rPr>
        <w:t>2020年度</w:t>
      </w:r>
      <w:r>
        <w:rPr>
          <w:rFonts w:hint="default" w:ascii="Times New Roman" w:hAnsi="Times New Roman" w:cs="Times New Roman"/>
          <w:bCs/>
          <w:color w:val="auto"/>
          <w:sz w:val="32"/>
          <w:szCs w:val="32"/>
          <w:shd w:val="clear" w:color="auto" w:fill="FFFFFF"/>
        </w:rPr>
        <w:t>收、支总计</w:t>
      </w:r>
      <w:r>
        <w:rPr>
          <w:rFonts w:hint="default" w:ascii="Times New Roman" w:hAnsi="Times New Roman" w:cs="Times New Roman"/>
          <w:bCs/>
          <w:color w:val="auto"/>
          <w:sz w:val="32"/>
          <w:szCs w:val="32"/>
          <w:shd w:val="clear" w:color="auto" w:fill="FFFFFF"/>
        </w:rPr>
        <w:t>425.11万元，与上年相比，减少12.32万元，减少2.80%，主要是因为2020年由在职转退休1人，减少人员经费。以及2019年度总计包含有年初结转结余4.95万元。</w:t>
      </w:r>
    </w:p>
    <w:p>
      <w:pPr>
        <w:pStyle w:val="12"/>
        <w:spacing w:line="360" w:lineRule="auto"/>
        <w:rPr>
          <w:rFonts w:hint="default" w:ascii="Times New Roman" w:hAnsi="Times New Roman" w:cs="Times New Roman"/>
          <w:b/>
          <w:color w:val="auto"/>
          <w:sz w:val="32"/>
          <w:szCs w:val="32"/>
        </w:rPr>
      </w:pPr>
      <w:r>
        <w:rPr>
          <w:rFonts w:hint="default" w:ascii="Times New Roman" w:hAnsi="Times New Roman" w:cs="Times New Roman"/>
          <w:b/>
          <w:color w:val="auto"/>
          <w:sz w:val="32"/>
          <w:szCs w:val="32"/>
        </w:rPr>
        <w:t>二、收入决算情况说明</w:t>
      </w:r>
    </w:p>
    <w:p>
      <w:pPr>
        <w:pStyle w:val="12"/>
        <w:spacing w:line="360" w:lineRule="auto"/>
        <w:ind w:firstLine="640" w:firstLineChars="200"/>
        <w:rPr>
          <w:rFonts w:hint="default" w:ascii="Times New Roman" w:hAnsi="Times New Roman" w:cs="Times New Roman" w:eastAsiaTheme="minorEastAsia"/>
          <w:color w:val="auto"/>
          <w:sz w:val="32"/>
          <w:szCs w:val="32"/>
        </w:rPr>
      </w:pPr>
      <w:r>
        <w:rPr>
          <w:rFonts w:hint="default" w:ascii="Times New Roman" w:hAnsi="Times New Roman" w:cs="Times New Roman" w:eastAsiaTheme="minorEastAsia"/>
          <w:color w:val="auto"/>
          <w:sz w:val="32"/>
          <w:szCs w:val="32"/>
        </w:rPr>
        <w:t>本年收入合计425.11万元，其中：财政拨款收入425.11万元，占</w:t>
      </w:r>
      <w:r>
        <w:rPr>
          <w:rFonts w:hint="default" w:ascii="Times New Roman" w:hAnsi="Times New Roman" w:cs="Times New Roman" w:eastAsiaTheme="minorEastAsia"/>
          <w:color w:val="auto"/>
          <w:sz w:val="32"/>
          <w:szCs w:val="32"/>
        </w:rPr>
        <w:t>100.00%</w:t>
      </w:r>
      <w:r>
        <w:rPr>
          <w:rFonts w:hint="default" w:ascii="Times New Roman" w:hAnsi="Times New Roman" w:cs="Times New Roman" w:eastAsiaTheme="minorEastAsia"/>
          <w:color w:val="auto"/>
          <w:sz w:val="32"/>
          <w:szCs w:val="32"/>
        </w:rPr>
        <w:t>；上级补助收入0.00万元，占0.00%；事业收入0.00万元，占0.00%；经营收入0.00万元，占0.00%；附属单位上缴收入0.00万元，占0.00%；其他收入0.00万元，占0.00%。</w:t>
      </w:r>
    </w:p>
    <w:p>
      <w:pPr>
        <w:pStyle w:val="12"/>
        <w:spacing w:line="360" w:lineRule="auto"/>
        <w:rPr>
          <w:rFonts w:hint="default" w:ascii="Times New Roman" w:hAnsi="Times New Roman" w:cs="Times New Roman"/>
          <w:b/>
          <w:color w:val="auto"/>
          <w:sz w:val="32"/>
          <w:szCs w:val="32"/>
        </w:rPr>
      </w:pPr>
      <w:r>
        <w:rPr>
          <w:rFonts w:hint="default" w:ascii="Times New Roman" w:hAnsi="Times New Roman" w:cs="Times New Roman"/>
          <w:b/>
          <w:color w:val="auto"/>
          <w:sz w:val="32"/>
          <w:szCs w:val="32"/>
        </w:rPr>
        <w:t>三、支出决算情况说明</w:t>
      </w:r>
    </w:p>
    <w:p>
      <w:pPr>
        <w:pStyle w:val="12"/>
        <w:spacing w:line="360" w:lineRule="auto"/>
        <w:ind w:firstLine="640" w:firstLineChars="200"/>
        <w:rPr>
          <w:rFonts w:hint="default" w:ascii="Times New Roman" w:hAnsi="Times New Roman" w:cs="Times New Roman" w:eastAsiaTheme="minorEastAsia"/>
          <w:color w:val="auto"/>
          <w:sz w:val="32"/>
          <w:szCs w:val="32"/>
        </w:rPr>
      </w:pPr>
      <w:r>
        <w:rPr>
          <w:rFonts w:hint="default" w:ascii="Times New Roman" w:hAnsi="Times New Roman" w:cs="Times New Roman" w:eastAsiaTheme="minorEastAsia"/>
          <w:color w:val="auto"/>
          <w:sz w:val="32"/>
          <w:szCs w:val="32"/>
        </w:rPr>
        <w:t>本年支出合计415.77万元，其中：基本支出404.81万元，占97.36%；项目支出10.95万元，占2.64%；上缴上级支出0.00万元，占0.00%；经营支出0.00万元，占0.00%；对附属单位补助支出0.00万元，占0.00%。</w:t>
      </w:r>
    </w:p>
    <w:p>
      <w:pPr>
        <w:pStyle w:val="12"/>
        <w:spacing w:line="360" w:lineRule="auto"/>
        <w:rPr>
          <w:rFonts w:hint="default" w:ascii="Times New Roman" w:hAnsi="Times New Roman" w:cs="Times New Roman"/>
          <w:b/>
          <w:color w:val="auto"/>
          <w:sz w:val="32"/>
          <w:szCs w:val="32"/>
        </w:rPr>
      </w:pPr>
      <w:r>
        <w:rPr>
          <w:rFonts w:hint="default" w:ascii="Times New Roman" w:hAnsi="Times New Roman" w:cs="Times New Roman"/>
          <w:b/>
          <w:color w:val="auto"/>
          <w:sz w:val="32"/>
          <w:szCs w:val="32"/>
        </w:rPr>
        <w:t>四、财政拨款收入支出决算总体情况说明</w:t>
      </w:r>
    </w:p>
    <w:p>
      <w:pPr>
        <w:pStyle w:val="6"/>
        <w:widowControl/>
        <w:shd w:val="clear" w:color="auto" w:fill="FFFFFF"/>
        <w:spacing w:beforeAutospacing="0" w:afterAutospacing="0" w:line="360" w:lineRule="auto"/>
        <w:ind w:firstLine="570"/>
        <w:rPr>
          <w:rFonts w:hint="default" w:ascii="Times New Roman" w:hAnsi="Times New Roman" w:cs="Times New Roman"/>
          <w:bCs/>
          <w:color w:val="auto"/>
          <w:sz w:val="32"/>
          <w:szCs w:val="32"/>
          <w:shd w:val="clear" w:color="auto" w:fill="FFFFFF"/>
        </w:rPr>
      </w:pPr>
      <w:r>
        <w:rPr>
          <w:rFonts w:hint="default" w:ascii="Times New Roman" w:hAnsi="Times New Roman" w:cs="Times New Roman"/>
          <w:bCs/>
          <w:color w:val="auto"/>
          <w:sz w:val="32"/>
          <w:szCs w:val="32"/>
          <w:shd w:val="clear" w:color="auto" w:fill="FFFFFF"/>
        </w:rPr>
        <w:t>2020年度财政拨款收、支总计425.11万元，与上年相比减少12.32万元，减少2.80%，主要是因为2020年由在职转退休1人，减少人员经费。以及2019年度总计包含有年初结转结余4.95万元。</w:t>
      </w:r>
    </w:p>
    <w:p>
      <w:pPr>
        <w:pStyle w:val="12"/>
        <w:spacing w:line="360" w:lineRule="auto"/>
        <w:rPr>
          <w:rFonts w:hint="default" w:ascii="Times New Roman" w:hAnsi="Times New Roman" w:cs="Times New Roman"/>
          <w:b/>
          <w:color w:val="auto"/>
          <w:sz w:val="32"/>
          <w:szCs w:val="32"/>
        </w:rPr>
      </w:pPr>
      <w:r>
        <w:rPr>
          <w:rFonts w:hint="default" w:ascii="Times New Roman" w:hAnsi="Times New Roman" w:cs="Times New Roman"/>
          <w:b/>
          <w:color w:val="auto"/>
          <w:sz w:val="32"/>
          <w:szCs w:val="32"/>
        </w:rPr>
        <w:t>五、一般公共预算财政拨款支出决算情况说明</w:t>
      </w:r>
    </w:p>
    <w:p>
      <w:pPr>
        <w:pStyle w:val="12"/>
        <w:spacing w:line="360" w:lineRule="auto"/>
        <w:ind w:firstLine="643" w:firstLineChars="200"/>
        <w:rPr>
          <w:rFonts w:hint="default" w:ascii="Times New Roman" w:hAnsi="Times New Roman" w:cs="Times New Roman" w:eastAsiaTheme="minorEastAsia"/>
          <w:b/>
          <w:color w:val="auto"/>
          <w:sz w:val="32"/>
          <w:szCs w:val="32"/>
        </w:rPr>
      </w:pPr>
      <w:r>
        <w:rPr>
          <w:rFonts w:hint="default" w:ascii="Times New Roman" w:hAnsi="Times New Roman" w:cs="Times New Roman" w:eastAsiaTheme="minorEastAsia"/>
          <w:b/>
          <w:color w:val="auto"/>
          <w:sz w:val="32"/>
          <w:szCs w:val="32"/>
        </w:rPr>
        <w:t>（一）财政拨款支出决算总体情况</w:t>
      </w:r>
    </w:p>
    <w:p>
      <w:pPr>
        <w:pStyle w:val="6"/>
        <w:widowControl/>
        <w:shd w:val="clear" w:color="auto" w:fill="FFFFFF"/>
        <w:spacing w:beforeAutospacing="0" w:afterAutospacing="0" w:line="360" w:lineRule="auto"/>
        <w:ind w:firstLine="640" w:firstLineChars="200"/>
        <w:jc w:val="both"/>
        <w:rPr>
          <w:rFonts w:hint="default" w:ascii="Times New Roman" w:hAnsi="Times New Roman" w:cs="Times New Roman"/>
          <w:bCs/>
          <w:color w:val="auto"/>
          <w:sz w:val="32"/>
          <w:szCs w:val="32"/>
          <w:shd w:val="clear" w:color="auto" w:fill="FFFFFF"/>
        </w:rPr>
      </w:pPr>
      <w:r>
        <w:rPr>
          <w:rFonts w:hint="default" w:ascii="Times New Roman" w:hAnsi="Times New Roman" w:cs="Times New Roman"/>
          <w:bCs/>
          <w:color w:val="auto"/>
          <w:sz w:val="32"/>
          <w:szCs w:val="32"/>
          <w:shd w:val="clear" w:color="auto" w:fill="FFFFFF"/>
        </w:rPr>
        <w:t>2020年度财政拨款支出415.77万元，占本年支出合计100.00%，与上年相比，财政拨款支出减少21.66万元，减少4.95%，主要是因为2020年由在职转退休1人，相应减少人员工资、社会保障缴费、住房公积金，2020年机房播出设备维护费减少。</w:t>
      </w:r>
    </w:p>
    <w:p>
      <w:pPr>
        <w:pStyle w:val="12"/>
        <w:spacing w:line="360" w:lineRule="auto"/>
        <w:ind w:firstLine="482" w:firstLineChars="150"/>
        <w:rPr>
          <w:rFonts w:hint="default" w:ascii="Times New Roman" w:hAnsi="Times New Roman" w:cs="Times New Roman" w:eastAsiaTheme="minorEastAsia"/>
          <w:b/>
          <w:color w:val="auto"/>
          <w:sz w:val="32"/>
          <w:szCs w:val="32"/>
        </w:rPr>
      </w:pPr>
      <w:r>
        <w:rPr>
          <w:rFonts w:hint="default" w:ascii="Times New Roman" w:hAnsi="Times New Roman" w:cs="Times New Roman" w:eastAsiaTheme="minorEastAsia"/>
          <w:b/>
          <w:color w:val="auto"/>
          <w:sz w:val="32"/>
          <w:szCs w:val="32"/>
        </w:rPr>
        <w:t>（二）财政拨款支出决算结构情况</w:t>
      </w:r>
    </w:p>
    <w:p>
      <w:pPr>
        <w:pStyle w:val="6"/>
        <w:widowControl/>
        <w:shd w:val="clear" w:color="auto" w:fill="FFFFFF"/>
        <w:spacing w:beforeAutospacing="0" w:afterAutospacing="0" w:line="360" w:lineRule="auto"/>
        <w:ind w:firstLine="640" w:firstLineChars="200"/>
        <w:rPr>
          <w:rFonts w:hint="default" w:ascii="Times New Roman" w:hAnsi="Times New Roman" w:cs="Times New Roman"/>
          <w:bCs/>
          <w:color w:val="auto"/>
          <w:sz w:val="32"/>
          <w:szCs w:val="32"/>
        </w:rPr>
      </w:pPr>
      <w:r>
        <w:rPr>
          <w:rFonts w:hint="default" w:ascii="Times New Roman" w:hAnsi="Times New Roman" w:cs="Times New Roman"/>
          <w:bCs/>
          <w:color w:val="auto"/>
          <w:sz w:val="32"/>
          <w:szCs w:val="32"/>
          <w:shd w:val="clear" w:color="auto" w:fill="FFFFFF"/>
        </w:rPr>
        <w:t>2020年度财政拨款支出415.77万元，主要用于以下方面：文化体育与传媒支出344.27万元，占82.80%；社会保障和就业支出46.50万元，占11.18%；住房保障支出25.00万元，占6.02%。</w:t>
      </w:r>
    </w:p>
    <w:p>
      <w:pPr>
        <w:pStyle w:val="12"/>
        <w:spacing w:line="360" w:lineRule="auto"/>
        <w:ind w:firstLine="643" w:firstLineChars="200"/>
        <w:rPr>
          <w:rFonts w:hint="default" w:ascii="Times New Roman" w:hAnsi="Times New Roman" w:cs="Times New Roman" w:eastAsiaTheme="minorEastAsia"/>
          <w:b/>
          <w:color w:val="auto"/>
          <w:sz w:val="32"/>
          <w:szCs w:val="32"/>
        </w:rPr>
      </w:pPr>
      <w:r>
        <w:rPr>
          <w:rFonts w:hint="default" w:ascii="Times New Roman" w:hAnsi="Times New Roman" w:cs="Times New Roman" w:eastAsiaTheme="minorEastAsia"/>
          <w:b/>
          <w:color w:val="auto"/>
          <w:sz w:val="32"/>
          <w:szCs w:val="32"/>
        </w:rPr>
        <w:t>（三）财政拨款支出决算具体情况</w:t>
      </w:r>
    </w:p>
    <w:p>
      <w:pPr>
        <w:pStyle w:val="12"/>
        <w:spacing w:line="360" w:lineRule="auto"/>
        <w:ind w:firstLine="640" w:firstLineChars="200"/>
        <w:rPr>
          <w:rFonts w:hint="default" w:ascii="Times New Roman" w:hAnsi="Times New Roman" w:cs="Times New Roman" w:eastAsiaTheme="minorEastAsia"/>
          <w:color w:val="auto"/>
          <w:sz w:val="32"/>
          <w:szCs w:val="32"/>
        </w:rPr>
      </w:pPr>
      <w:r>
        <w:rPr>
          <w:rFonts w:hint="default" w:ascii="Times New Roman" w:hAnsi="Times New Roman" w:cs="Times New Roman" w:eastAsiaTheme="minorEastAsia"/>
          <w:color w:val="auto"/>
          <w:sz w:val="32"/>
          <w:szCs w:val="32"/>
        </w:rPr>
        <w:t>2020年度财政拨款支出年初预算数为389.80万元，支出决算数为415.77万元，完成年初预算的106.66%，其中：</w:t>
      </w:r>
    </w:p>
    <w:p>
      <w:pPr>
        <w:pStyle w:val="12"/>
        <w:spacing w:line="360" w:lineRule="auto"/>
        <w:ind w:firstLine="800" w:firstLineChars="250"/>
        <w:rPr>
          <w:rFonts w:hint="default" w:ascii="Times New Roman" w:hAnsi="Times New Roman" w:cs="Times New Roman" w:eastAsiaTheme="minorEastAsia"/>
          <w:color w:val="002060"/>
          <w:sz w:val="32"/>
          <w:szCs w:val="32"/>
          <w:lang w:eastAsia="zh-CN"/>
        </w:rPr>
      </w:pPr>
      <w:r>
        <w:rPr>
          <w:rFonts w:hint="default" w:ascii="Times New Roman" w:hAnsi="Times New Roman" w:cs="Times New Roman" w:eastAsiaTheme="minorEastAsia"/>
          <w:color w:val="002060"/>
          <w:sz w:val="32"/>
          <w:szCs w:val="32"/>
        </w:rPr>
        <w:t>1、文化旅游体育与传媒支出</w:t>
      </w:r>
      <w:r>
        <w:rPr>
          <w:rFonts w:hint="default" w:ascii="Times New Roman" w:hAnsi="Times New Roman" w:cs="Times New Roman" w:eastAsiaTheme="minorEastAsia"/>
          <w:bCs/>
          <w:color w:val="002060"/>
          <w:sz w:val="32"/>
          <w:szCs w:val="32"/>
          <w:shd w:val="clear" w:color="auto" w:fill="FFFFFF"/>
          <w:lang w:eastAsia="zh-CN"/>
        </w:rPr>
        <w:t>（类）</w:t>
      </w:r>
      <w:r>
        <w:rPr>
          <w:rFonts w:hint="default" w:ascii="Times New Roman" w:hAnsi="Times New Roman" w:cs="Times New Roman" w:eastAsiaTheme="minorEastAsia"/>
          <w:bCs/>
          <w:color w:val="002060"/>
          <w:sz w:val="32"/>
          <w:szCs w:val="32"/>
          <w:shd w:val="clear" w:color="auto" w:fill="FFFFFF"/>
        </w:rPr>
        <w:t>广播</w:t>
      </w:r>
      <w:r>
        <w:rPr>
          <w:rFonts w:hint="default" w:ascii="Times New Roman" w:hAnsi="Times New Roman" w:cs="Times New Roman" w:eastAsiaTheme="minorEastAsia"/>
          <w:bCs/>
          <w:color w:val="002060"/>
          <w:sz w:val="32"/>
          <w:szCs w:val="32"/>
          <w:shd w:val="clear" w:color="auto" w:fill="FFFFFF"/>
          <w:lang w:eastAsia="zh-CN"/>
        </w:rPr>
        <w:t>电视（款） 广播（项）。</w:t>
      </w:r>
    </w:p>
    <w:p>
      <w:pPr>
        <w:pStyle w:val="12"/>
        <w:spacing w:line="360" w:lineRule="auto"/>
        <w:ind w:firstLine="640" w:firstLineChars="200"/>
        <w:rPr>
          <w:rFonts w:hint="default" w:ascii="Times New Roman" w:hAnsi="Times New Roman" w:cs="Times New Roman" w:eastAsiaTheme="minorEastAsia"/>
          <w:color w:val="auto"/>
          <w:sz w:val="32"/>
          <w:szCs w:val="32"/>
        </w:rPr>
      </w:pPr>
      <w:r>
        <w:rPr>
          <w:rFonts w:hint="default" w:ascii="Times New Roman" w:hAnsi="Times New Roman" w:cs="Times New Roman" w:eastAsiaTheme="minorEastAsia"/>
          <w:color w:val="auto"/>
          <w:sz w:val="32"/>
          <w:szCs w:val="32"/>
        </w:rPr>
        <w:t>年初预算</w:t>
      </w:r>
      <w:r>
        <w:rPr>
          <w:rFonts w:hint="default" w:ascii="Times New Roman" w:hAnsi="Times New Roman" w:cs="Times New Roman" w:eastAsiaTheme="minorEastAsia"/>
          <w:color w:val="auto"/>
          <w:sz w:val="32"/>
          <w:szCs w:val="32"/>
        </w:rPr>
        <w:t>为</w:t>
      </w:r>
      <w:r>
        <w:rPr>
          <w:rFonts w:hint="default" w:ascii="Times New Roman" w:hAnsi="Times New Roman" w:cs="Times New Roman" w:eastAsiaTheme="minorEastAsia"/>
          <w:color w:val="auto"/>
          <w:sz w:val="32"/>
          <w:szCs w:val="32"/>
        </w:rPr>
        <w:t>318.30万元，支出决算为333.31万元，完成年初预算的104.72%，决算数大于年初预算数的主要原因是：年中财政追加的综治奖款项未纳入年初预算数。</w:t>
      </w:r>
    </w:p>
    <w:p>
      <w:pPr>
        <w:pStyle w:val="12"/>
        <w:numPr>
          <w:ilvl w:val="0"/>
          <w:numId w:val="2"/>
        </w:numPr>
        <w:spacing w:line="360" w:lineRule="auto"/>
        <w:ind w:firstLine="800" w:firstLineChars="250"/>
        <w:rPr>
          <w:rFonts w:hint="default" w:ascii="Times New Roman" w:hAnsi="Times New Roman" w:cs="Times New Roman" w:eastAsiaTheme="minorEastAsia"/>
          <w:color w:val="002060"/>
          <w:sz w:val="32"/>
          <w:szCs w:val="32"/>
        </w:rPr>
      </w:pPr>
      <w:r>
        <w:rPr>
          <w:rFonts w:hint="default" w:ascii="Times New Roman" w:hAnsi="Times New Roman" w:cs="Times New Roman" w:eastAsiaTheme="minorEastAsia"/>
          <w:color w:val="002060"/>
          <w:sz w:val="32"/>
          <w:szCs w:val="32"/>
        </w:rPr>
        <w:t>文化旅游体育与传媒支出</w:t>
      </w:r>
      <w:r>
        <w:rPr>
          <w:rFonts w:hint="default" w:ascii="Times New Roman" w:hAnsi="Times New Roman" w:cs="Times New Roman" w:eastAsiaTheme="minorEastAsia"/>
          <w:bCs/>
          <w:color w:val="002060"/>
          <w:sz w:val="32"/>
          <w:szCs w:val="32"/>
          <w:shd w:val="clear" w:color="auto" w:fill="FFFFFF"/>
          <w:lang w:eastAsia="zh-CN"/>
        </w:rPr>
        <w:t>（类）</w:t>
      </w:r>
      <w:r>
        <w:rPr>
          <w:rFonts w:hint="default" w:ascii="Times New Roman" w:hAnsi="Times New Roman" w:cs="Times New Roman" w:eastAsiaTheme="minorEastAsia"/>
          <w:bCs/>
          <w:color w:val="002060"/>
          <w:sz w:val="32"/>
          <w:szCs w:val="32"/>
          <w:shd w:val="clear" w:color="auto" w:fill="FFFFFF"/>
        </w:rPr>
        <w:t>广播</w:t>
      </w:r>
      <w:r>
        <w:rPr>
          <w:rFonts w:hint="default" w:ascii="Times New Roman" w:hAnsi="Times New Roman" w:cs="Times New Roman" w:eastAsiaTheme="minorEastAsia"/>
          <w:bCs/>
          <w:color w:val="002060"/>
          <w:sz w:val="32"/>
          <w:szCs w:val="32"/>
          <w:shd w:val="clear" w:color="auto" w:fill="FFFFFF"/>
          <w:lang w:eastAsia="zh-CN"/>
        </w:rPr>
        <w:t xml:space="preserve">电视（款） </w:t>
      </w:r>
      <w:r>
        <w:rPr>
          <w:rFonts w:hint="default" w:ascii="Times New Roman" w:hAnsi="Times New Roman" w:cs="Times New Roman" w:eastAsiaTheme="minorEastAsia"/>
          <w:color w:val="002060"/>
          <w:sz w:val="32"/>
          <w:szCs w:val="32"/>
        </w:rPr>
        <w:t>其他广播电视支出</w:t>
      </w:r>
      <w:r>
        <w:rPr>
          <w:rFonts w:hint="default" w:ascii="Times New Roman" w:hAnsi="Times New Roman" w:cs="Times New Roman" w:eastAsiaTheme="minorEastAsia"/>
          <w:bCs/>
          <w:color w:val="002060"/>
          <w:sz w:val="32"/>
          <w:szCs w:val="32"/>
          <w:shd w:val="clear" w:color="auto" w:fill="FFFFFF"/>
          <w:lang w:eastAsia="zh-CN"/>
        </w:rPr>
        <w:t>（项）。</w:t>
      </w:r>
    </w:p>
    <w:p>
      <w:pPr>
        <w:pStyle w:val="12"/>
        <w:spacing w:line="360" w:lineRule="auto"/>
        <w:ind w:firstLine="640" w:firstLineChars="200"/>
        <w:rPr>
          <w:rFonts w:hint="default" w:ascii="Times New Roman" w:hAnsi="Times New Roman" w:cs="Times New Roman" w:eastAsiaTheme="minorEastAsia"/>
          <w:color w:val="auto"/>
          <w:sz w:val="32"/>
          <w:szCs w:val="32"/>
        </w:rPr>
      </w:pPr>
      <w:r>
        <w:rPr>
          <w:rFonts w:hint="default" w:ascii="Times New Roman" w:hAnsi="Times New Roman" w:cs="Times New Roman" w:eastAsiaTheme="minorEastAsia"/>
          <w:color w:val="auto"/>
          <w:sz w:val="32"/>
          <w:szCs w:val="32"/>
        </w:rPr>
        <w:t>年初预算为</w:t>
      </w:r>
      <w:r>
        <w:rPr>
          <w:rFonts w:hint="default" w:ascii="Times New Roman" w:hAnsi="Times New Roman" w:cs="Times New Roman" w:eastAsiaTheme="minorEastAsia"/>
          <w:color w:val="auto"/>
          <w:sz w:val="32"/>
          <w:szCs w:val="32"/>
        </w:rPr>
        <w:t>0.00万元，支出决算为10.95万元，完成年初预算的0.00%，决算数大于年初预算数的主要原因是：年中财政追加其他广播电视支出项目经费未纳入年初预算数。</w:t>
      </w:r>
    </w:p>
    <w:p>
      <w:pPr>
        <w:pStyle w:val="12"/>
        <w:numPr>
          <w:ilvl w:val="0"/>
          <w:numId w:val="2"/>
        </w:numPr>
        <w:spacing w:line="360" w:lineRule="auto"/>
        <w:ind w:firstLine="800" w:firstLineChars="250"/>
        <w:rPr>
          <w:rFonts w:hint="default" w:ascii="Times New Roman" w:hAnsi="Times New Roman" w:cs="Times New Roman" w:eastAsiaTheme="minorEastAsia"/>
          <w:bCs/>
          <w:color w:val="002060"/>
          <w:sz w:val="32"/>
          <w:szCs w:val="32"/>
          <w:shd w:val="clear" w:color="auto" w:fill="FFFFFF"/>
        </w:rPr>
      </w:pPr>
      <w:r>
        <w:rPr>
          <w:rFonts w:hint="default" w:ascii="Times New Roman" w:hAnsi="Times New Roman" w:cs="Times New Roman" w:eastAsiaTheme="minorEastAsia"/>
          <w:bCs/>
          <w:color w:val="002060"/>
          <w:sz w:val="32"/>
          <w:szCs w:val="32"/>
          <w:shd w:val="clear" w:color="auto" w:fill="FFFFFF"/>
        </w:rPr>
        <w:t>社会保障和就业支出</w:t>
      </w:r>
      <w:r>
        <w:rPr>
          <w:rFonts w:hint="default" w:ascii="Times New Roman" w:hAnsi="Times New Roman" w:cs="Times New Roman" w:eastAsiaTheme="minorEastAsia"/>
          <w:bCs/>
          <w:color w:val="002060"/>
          <w:sz w:val="32"/>
          <w:szCs w:val="32"/>
          <w:shd w:val="clear" w:color="auto" w:fill="FFFFFF"/>
          <w:lang w:eastAsia="zh-CN"/>
        </w:rPr>
        <w:t>（类）行政事业单位养老支出（款）</w:t>
      </w:r>
      <w:r>
        <w:rPr>
          <w:rFonts w:hint="default" w:ascii="Times New Roman" w:hAnsi="Times New Roman" w:cs="Times New Roman" w:eastAsiaTheme="minorEastAsia"/>
          <w:bCs/>
          <w:color w:val="002060"/>
          <w:sz w:val="32"/>
          <w:szCs w:val="32"/>
          <w:shd w:val="clear" w:color="auto" w:fill="FFFFFF"/>
        </w:rPr>
        <w:t>机关事业单位保险缴费支出</w:t>
      </w:r>
      <w:r>
        <w:rPr>
          <w:rFonts w:hint="default" w:ascii="Times New Roman" w:hAnsi="Times New Roman" w:cs="Times New Roman" w:eastAsiaTheme="minorEastAsia"/>
          <w:bCs/>
          <w:color w:val="002060"/>
          <w:sz w:val="32"/>
          <w:szCs w:val="32"/>
          <w:shd w:val="clear" w:color="auto" w:fill="FFFFFF"/>
          <w:lang w:eastAsia="zh-CN"/>
        </w:rPr>
        <w:t>（项）。</w:t>
      </w:r>
    </w:p>
    <w:p>
      <w:pPr>
        <w:pStyle w:val="12"/>
        <w:spacing w:line="360" w:lineRule="auto"/>
        <w:ind w:firstLine="640" w:firstLineChars="200"/>
        <w:rPr>
          <w:rFonts w:hint="default" w:ascii="Times New Roman" w:hAnsi="Times New Roman" w:cs="Times New Roman" w:eastAsiaTheme="minorEastAsia"/>
          <w:color w:val="auto"/>
          <w:sz w:val="32"/>
          <w:szCs w:val="32"/>
        </w:rPr>
      </w:pPr>
      <w:r>
        <w:rPr>
          <w:rFonts w:hint="default" w:ascii="Times New Roman" w:hAnsi="Times New Roman" w:cs="Times New Roman" w:eastAsiaTheme="minorEastAsia"/>
          <w:bCs/>
          <w:color w:val="auto"/>
          <w:sz w:val="32"/>
          <w:szCs w:val="32"/>
          <w:shd w:val="clear" w:color="auto" w:fill="FFFFFF"/>
        </w:rPr>
        <w:t xml:space="preserve"> </w:t>
      </w:r>
      <w:r>
        <w:rPr>
          <w:rFonts w:hint="default" w:ascii="Times New Roman" w:hAnsi="Times New Roman" w:cs="Times New Roman" w:eastAsiaTheme="minorEastAsia"/>
          <w:color w:val="auto"/>
          <w:sz w:val="32"/>
          <w:szCs w:val="32"/>
        </w:rPr>
        <w:t>年初预算为</w:t>
      </w:r>
      <w:r>
        <w:rPr>
          <w:rFonts w:hint="default" w:ascii="Times New Roman" w:hAnsi="Times New Roman" w:cs="Times New Roman" w:eastAsiaTheme="minorEastAsia"/>
          <w:color w:val="auto"/>
          <w:sz w:val="32"/>
          <w:szCs w:val="32"/>
        </w:rPr>
        <w:t>40.00万元，支出决算为40.00万元，完成年初预算的100.00%。</w:t>
      </w:r>
    </w:p>
    <w:p>
      <w:pPr>
        <w:pStyle w:val="12"/>
        <w:spacing w:line="360" w:lineRule="auto"/>
        <w:ind w:firstLine="960" w:firstLineChars="300"/>
        <w:rPr>
          <w:rFonts w:hint="default" w:ascii="Times New Roman" w:hAnsi="Times New Roman" w:cs="Times New Roman" w:eastAsiaTheme="minorEastAsia"/>
          <w:bCs/>
          <w:color w:val="002060"/>
          <w:sz w:val="32"/>
          <w:szCs w:val="32"/>
          <w:shd w:val="clear" w:color="auto" w:fill="FFFFFF"/>
          <w:lang w:eastAsia="zh-CN"/>
        </w:rPr>
      </w:pPr>
      <w:r>
        <w:rPr>
          <w:rFonts w:hint="default" w:ascii="Times New Roman" w:hAnsi="Times New Roman" w:cs="Times New Roman" w:eastAsiaTheme="minorEastAsia"/>
          <w:bCs/>
          <w:color w:val="002060"/>
          <w:sz w:val="32"/>
          <w:szCs w:val="32"/>
          <w:shd w:val="clear" w:color="auto" w:fill="FFFFFF"/>
          <w:lang w:val="en-US" w:eastAsia="zh-CN"/>
        </w:rPr>
        <w:t>4、</w:t>
      </w:r>
      <w:r>
        <w:rPr>
          <w:rFonts w:hint="default" w:ascii="Times New Roman" w:hAnsi="Times New Roman" w:cs="Times New Roman" w:eastAsiaTheme="minorEastAsia"/>
          <w:bCs/>
          <w:color w:val="002060"/>
          <w:sz w:val="32"/>
          <w:szCs w:val="32"/>
          <w:shd w:val="clear" w:color="auto" w:fill="FFFFFF"/>
        </w:rPr>
        <w:t>社会保障和就业支出</w:t>
      </w:r>
      <w:r>
        <w:rPr>
          <w:rFonts w:hint="default" w:ascii="Times New Roman" w:hAnsi="Times New Roman" w:cs="Times New Roman" w:eastAsiaTheme="minorEastAsia"/>
          <w:bCs/>
          <w:color w:val="002060"/>
          <w:sz w:val="32"/>
          <w:szCs w:val="32"/>
          <w:shd w:val="clear" w:color="auto" w:fill="FFFFFF"/>
          <w:lang w:eastAsia="zh-CN"/>
        </w:rPr>
        <w:t>（类）行政事业单位养老支出（款）</w:t>
      </w:r>
      <w:r>
        <w:rPr>
          <w:rFonts w:hint="default" w:ascii="Times New Roman" w:hAnsi="Times New Roman" w:cs="Times New Roman" w:eastAsiaTheme="minorEastAsia"/>
          <w:bCs/>
          <w:color w:val="002060"/>
          <w:sz w:val="32"/>
          <w:szCs w:val="32"/>
          <w:shd w:val="clear" w:color="auto" w:fill="FFFFFF"/>
        </w:rPr>
        <w:t>机关事业单位职业年金缴费支出</w:t>
      </w:r>
      <w:r>
        <w:rPr>
          <w:rFonts w:hint="default" w:ascii="Times New Roman" w:hAnsi="Times New Roman" w:cs="Times New Roman" w:eastAsiaTheme="minorEastAsia"/>
          <w:bCs/>
          <w:color w:val="002060"/>
          <w:sz w:val="32"/>
          <w:szCs w:val="32"/>
          <w:shd w:val="clear" w:color="auto" w:fill="FFFFFF"/>
          <w:lang w:eastAsia="zh-CN"/>
        </w:rPr>
        <w:t>（项）。</w:t>
      </w:r>
    </w:p>
    <w:p>
      <w:pPr>
        <w:pStyle w:val="12"/>
        <w:spacing w:line="360" w:lineRule="auto"/>
        <w:ind w:firstLine="960" w:firstLineChars="300"/>
        <w:rPr>
          <w:rFonts w:hint="default" w:ascii="Times New Roman" w:hAnsi="Times New Roman" w:cs="Times New Roman" w:eastAsiaTheme="minorEastAsia"/>
          <w:color w:val="auto"/>
          <w:sz w:val="32"/>
          <w:szCs w:val="32"/>
        </w:rPr>
      </w:pPr>
      <w:r>
        <w:rPr>
          <w:rFonts w:hint="default" w:ascii="Times New Roman" w:hAnsi="Times New Roman" w:cs="Times New Roman" w:eastAsiaTheme="minorEastAsia"/>
          <w:color w:val="auto"/>
          <w:sz w:val="32"/>
          <w:szCs w:val="32"/>
        </w:rPr>
        <w:t>年初预算为6.50万元，支出决算为6.50万元，完成年初预算的100.00%。</w:t>
      </w:r>
    </w:p>
    <w:p>
      <w:pPr>
        <w:pStyle w:val="12"/>
        <w:numPr>
          <w:numId w:val="0"/>
        </w:numPr>
        <w:spacing w:line="360" w:lineRule="auto"/>
        <w:ind w:firstLine="640" w:firstLineChars="200"/>
        <w:rPr>
          <w:rFonts w:hint="default" w:ascii="Times New Roman" w:hAnsi="Times New Roman" w:cs="Times New Roman" w:eastAsiaTheme="minorEastAsia"/>
          <w:bCs/>
          <w:color w:val="002060"/>
          <w:sz w:val="32"/>
          <w:szCs w:val="32"/>
          <w:shd w:val="clear" w:color="auto" w:fill="FFFFFF"/>
          <w:lang w:val="en-US" w:eastAsia="zh-CN"/>
        </w:rPr>
      </w:pPr>
      <w:r>
        <w:rPr>
          <w:rFonts w:hint="default" w:ascii="Times New Roman" w:hAnsi="Times New Roman" w:cs="Times New Roman" w:eastAsiaTheme="minorEastAsia"/>
          <w:bCs/>
          <w:color w:val="002060"/>
          <w:sz w:val="32"/>
          <w:szCs w:val="32"/>
          <w:shd w:val="clear" w:color="auto" w:fill="FFFFFF"/>
          <w:lang w:val="en-US" w:eastAsia="zh-CN"/>
        </w:rPr>
        <w:t>5、</w:t>
      </w:r>
      <w:r>
        <w:rPr>
          <w:rFonts w:hint="default" w:ascii="Times New Roman" w:hAnsi="Times New Roman" w:cs="Times New Roman" w:eastAsiaTheme="minorEastAsia"/>
          <w:bCs/>
          <w:color w:val="002060"/>
          <w:sz w:val="32"/>
          <w:szCs w:val="32"/>
          <w:shd w:val="clear" w:color="auto" w:fill="FFFFFF"/>
        </w:rPr>
        <w:t>住房保障支出</w:t>
      </w:r>
      <w:r>
        <w:rPr>
          <w:rFonts w:hint="default" w:ascii="Times New Roman" w:hAnsi="Times New Roman" w:cs="Times New Roman" w:eastAsiaTheme="minorEastAsia"/>
          <w:bCs/>
          <w:color w:val="002060"/>
          <w:sz w:val="32"/>
          <w:szCs w:val="32"/>
          <w:shd w:val="clear" w:color="auto" w:fill="FFFFFF"/>
          <w:lang w:eastAsia="zh-CN"/>
        </w:rPr>
        <w:t>（类）</w:t>
      </w:r>
      <w:r>
        <w:rPr>
          <w:rFonts w:hint="default" w:ascii="Times New Roman" w:hAnsi="Times New Roman" w:cs="Times New Roman" w:eastAsiaTheme="minorEastAsia"/>
          <w:bCs/>
          <w:color w:val="002060"/>
          <w:sz w:val="32"/>
          <w:szCs w:val="32"/>
          <w:shd w:val="clear" w:color="auto" w:fill="FFFFFF"/>
        </w:rPr>
        <w:t>住房改革支出</w:t>
      </w:r>
      <w:r>
        <w:rPr>
          <w:rFonts w:hint="default" w:ascii="Times New Roman" w:hAnsi="Times New Roman" w:cs="Times New Roman" w:eastAsiaTheme="minorEastAsia"/>
          <w:bCs/>
          <w:color w:val="002060"/>
          <w:sz w:val="32"/>
          <w:szCs w:val="32"/>
          <w:shd w:val="clear" w:color="auto" w:fill="FFFFFF"/>
          <w:lang w:eastAsia="zh-CN"/>
        </w:rPr>
        <w:t>（款）</w:t>
      </w:r>
      <w:r>
        <w:rPr>
          <w:rFonts w:hint="default" w:ascii="Times New Roman" w:hAnsi="Times New Roman" w:cs="Times New Roman" w:eastAsiaTheme="minorEastAsia"/>
          <w:bCs/>
          <w:color w:val="002060"/>
          <w:sz w:val="32"/>
          <w:szCs w:val="32"/>
          <w:shd w:val="clear" w:color="auto" w:fill="FFFFFF"/>
        </w:rPr>
        <w:t>住房公积金</w:t>
      </w:r>
      <w:r>
        <w:rPr>
          <w:rFonts w:hint="default" w:ascii="Times New Roman" w:hAnsi="Times New Roman" w:cs="Times New Roman" w:eastAsiaTheme="minorEastAsia"/>
          <w:bCs/>
          <w:color w:val="002060"/>
          <w:sz w:val="32"/>
          <w:szCs w:val="32"/>
          <w:shd w:val="clear" w:color="auto" w:fill="FFFFFF"/>
          <w:lang w:eastAsia="zh-CN"/>
        </w:rPr>
        <w:t>（项）。</w:t>
      </w:r>
    </w:p>
    <w:p>
      <w:pPr>
        <w:pStyle w:val="12"/>
        <w:spacing w:line="360" w:lineRule="auto"/>
        <w:ind w:firstLine="640" w:firstLineChars="200"/>
        <w:rPr>
          <w:rFonts w:hint="default" w:ascii="Times New Roman" w:hAnsi="Times New Roman" w:cs="Times New Roman" w:eastAsiaTheme="minorEastAsia"/>
          <w:color w:val="auto"/>
          <w:sz w:val="32"/>
          <w:szCs w:val="32"/>
        </w:rPr>
      </w:pPr>
      <w:r>
        <w:rPr>
          <w:rFonts w:hint="default" w:ascii="Times New Roman" w:hAnsi="Times New Roman" w:cs="Times New Roman" w:eastAsiaTheme="minorEastAsia"/>
          <w:color w:val="auto"/>
          <w:sz w:val="32"/>
          <w:szCs w:val="32"/>
        </w:rPr>
        <w:t>年初预算为25.00万</w:t>
      </w:r>
      <w:r>
        <w:rPr>
          <w:rFonts w:hint="default" w:ascii="Times New Roman" w:hAnsi="Times New Roman" w:cs="Times New Roman" w:eastAsiaTheme="minorEastAsia"/>
          <w:color w:val="auto"/>
          <w:sz w:val="32"/>
          <w:szCs w:val="32"/>
        </w:rPr>
        <w:t>元，支出决算为25.00万元，完成年初预算的100.00%。</w:t>
      </w:r>
    </w:p>
    <w:p>
      <w:pPr>
        <w:pStyle w:val="12"/>
        <w:spacing w:line="360" w:lineRule="auto"/>
        <w:rPr>
          <w:rFonts w:hint="default" w:ascii="Times New Roman" w:hAnsi="Times New Roman" w:cs="Times New Roman"/>
          <w:b/>
          <w:color w:val="auto"/>
          <w:sz w:val="32"/>
          <w:szCs w:val="32"/>
        </w:rPr>
      </w:pPr>
      <w:r>
        <w:rPr>
          <w:rFonts w:hint="default" w:ascii="Times New Roman" w:hAnsi="Times New Roman" w:cs="Times New Roman"/>
          <w:b/>
          <w:color w:val="auto"/>
          <w:sz w:val="32"/>
          <w:szCs w:val="32"/>
        </w:rPr>
        <w:t>六、一般公共预算财政拨款基本支出决算情况说明</w:t>
      </w:r>
    </w:p>
    <w:p>
      <w:pPr>
        <w:pStyle w:val="12"/>
        <w:spacing w:line="360" w:lineRule="auto"/>
        <w:ind w:firstLine="640" w:firstLineChars="200"/>
        <w:jc w:val="both"/>
        <w:rPr>
          <w:rFonts w:hint="default" w:ascii="Times New Roman" w:hAnsi="Times New Roman" w:cs="Times New Roman" w:eastAsiaTheme="minorEastAsia"/>
          <w:color w:val="auto"/>
          <w:sz w:val="32"/>
          <w:szCs w:val="32"/>
        </w:rPr>
      </w:pPr>
      <w:r>
        <w:rPr>
          <w:rFonts w:hint="default" w:ascii="Times New Roman" w:hAnsi="Times New Roman" w:cs="Times New Roman" w:eastAsiaTheme="minorEastAsia"/>
          <w:color w:val="auto"/>
          <w:sz w:val="32"/>
          <w:szCs w:val="32"/>
        </w:rPr>
        <w:t>2020年度财政拨款基本支出404.81万元，其中：人员经费344.85万元，占基本支出的85.19%,主要包括基本工资、津贴补贴、绩效工资、奖金、职工基本医疗保险缴费、其他社会保障缴费、其他工资福利支出、抚恤金、生活补助、其他对个人和家庭的补助、养老保险、职业年金、住房公积金等；公用经费59.96万元，占基本支出的14.81%，主要包括办公费、水费、电费、物业管理费、差旅费、维修费、培训费、公务接待费、工会经费、福利费、公务用车运行维护费、其他交通费、其他商品和服务支出等。</w:t>
      </w:r>
    </w:p>
    <w:p>
      <w:pPr>
        <w:pStyle w:val="12"/>
        <w:spacing w:line="360" w:lineRule="auto"/>
        <w:rPr>
          <w:rFonts w:hint="default" w:ascii="Times New Roman" w:hAnsi="Times New Roman" w:cs="Times New Roman"/>
          <w:b/>
          <w:color w:val="auto"/>
          <w:sz w:val="32"/>
          <w:szCs w:val="32"/>
        </w:rPr>
      </w:pPr>
      <w:r>
        <w:rPr>
          <w:rFonts w:hint="default" w:ascii="Times New Roman" w:hAnsi="Times New Roman" w:cs="Times New Roman"/>
          <w:b/>
          <w:color w:val="auto"/>
          <w:sz w:val="32"/>
          <w:szCs w:val="32"/>
        </w:rPr>
        <w:t>七、一般公共预算财政拨款三公经费支出决算情况说明</w:t>
      </w:r>
    </w:p>
    <w:p>
      <w:pPr>
        <w:pStyle w:val="12"/>
        <w:spacing w:line="360" w:lineRule="auto"/>
        <w:rPr>
          <w:rFonts w:hint="default" w:ascii="Times New Roman" w:hAnsi="Times New Roman" w:cs="Times New Roman" w:eastAsiaTheme="minorEastAsia"/>
          <w:b/>
          <w:color w:val="auto"/>
          <w:sz w:val="32"/>
          <w:szCs w:val="32"/>
        </w:rPr>
      </w:pPr>
      <w:r>
        <w:rPr>
          <w:rFonts w:hint="default" w:ascii="Times New Roman" w:hAnsi="Times New Roman" w:cs="Times New Roman" w:eastAsiaTheme="minorEastAsia"/>
          <w:b/>
          <w:color w:val="auto"/>
          <w:sz w:val="32"/>
          <w:szCs w:val="32"/>
        </w:rPr>
        <w:t>（一）“三公”经费财政拨款支出决算总体情况说明</w:t>
      </w:r>
    </w:p>
    <w:p>
      <w:pPr>
        <w:pStyle w:val="12"/>
        <w:spacing w:line="360" w:lineRule="auto"/>
        <w:ind w:firstLine="800" w:firstLineChars="250"/>
        <w:rPr>
          <w:rFonts w:hint="default" w:ascii="Times New Roman" w:hAnsi="Times New Roman" w:cs="Times New Roman" w:eastAsiaTheme="minorEastAsia"/>
          <w:color w:val="auto"/>
          <w:sz w:val="32"/>
          <w:szCs w:val="32"/>
        </w:rPr>
      </w:pPr>
      <w:r>
        <w:rPr>
          <w:rFonts w:hint="default" w:ascii="Times New Roman" w:hAnsi="Times New Roman" w:cs="Times New Roman" w:eastAsiaTheme="minorEastAsia"/>
          <w:color w:val="auto"/>
          <w:sz w:val="32"/>
          <w:szCs w:val="32"/>
        </w:rPr>
        <w:t>“三公”经费财政拨款支出预算为3.50万元，支出决算为2.59万元，完成预算的74.00%，其中：</w:t>
      </w:r>
    </w:p>
    <w:p>
      <w:pPr>
        <w:pStyle w:val="6"/>
        <w:widowControl/>
        <w:shd w:val="clear" w:color="auto" w:fill="FFFFFF"/>
        <w:spacing w:beforeAutospacing="0" w:afterAutospacing="0" w:line="360" w:lineRule="auto"/>
        <w:ind w:firstLine="645"/>
        <w:rPr>
          <w:rFonts w:hint="default" w:ascii="Times New Roman" w:hAnsi="Times New Roman" w:cs="Times New Roman" w:eastAsiaTheme="minorEastAsia"/>
          <w:bCs/>
          <w:color w:val="auto"/>
          <w:sz w:val="32"/>
          <w:szCs w:val="32"/>
          <w:lang w:eastAsia="zh-CN"/>
        </w:rPr>
      </w:pPr>
      <w:r>
        <w:rPr>
          <w:rFonts w:hint="default" w:ascii="Times New Roman" w:hAnsi="Times New Roman" w:cs="Times New Roman"/>
          <w:color w:val="auto"/>
          <w:sz w:val="32"/>
          <w:szCs w:val="32"/>
        </w:rPr>
        <w:t>因公出国（境）费支出预算为0.00万元，支出决算为0.00万元</w:t>
      </w:r>
      <w:r>
        <w:rPr>
          <w:rFonts w:hint="default" w:ascii="Times New Roman" w:hAnsi="Times New Roman" w:cs="Times New Roman"/>
          <w:color w:val="auto"/>
          <w:sz w:val="32"/>
          <w:szCs w:val="32"/>
          <w:lang w:eastAsia="zh-CN"/>
        </w:rPr>
        <w:t>，</w:t>
      </w:r>
      <w:r>
        <w:rPr>
          <w:rFonts w:hint="default" w:ascii="Times New Roman" w:hAnsi="Times New Roman" w:cs="Times New Roman"/>
          <w:color w:val="002060"/>
          <w:sz w:val="32"/>
          <w:szCs w:val="32"/>
          <w:lang w:eastAsia="zh-CN"/>
        </w:rPr>
        <w:t>较上年无变动。</w:t>
      </w:r>
    </w:p>
    <w:p>
      <w:pPr>
        <w:pStyle w:val="12"/>
        <w:spacing w:line="360" w:lineRule="auto"/>
        <w:ind w:firstLine="640" w:firstLineChars="200"/>
        <w:rPr>
          <w:rFonts w:hint="default" w:ascii="Times New Roman" w:hAnsi="Times New Roman" w:cs="Times New Roman" w:eastAsiaTheme="minorEastAsia"/>
          <w:color w:val="auto"/>
          <w:sz w:val="32"/>
          <w:szCs w:val="32"/>
        </w:rPr>
      </w:pPr>
      <w:r>
        <w:rPr>
          <w:rFonts w:hint="default" w:ascii="Times New Roman" w:hAnsi="Times New Roman" w:cs="Times New Roman" w:eastAsiaTheme="minorEastAsia"/>
          <w:color w:val="auto"/>
          <w:sz w:val="32"/>
          <w:szCs w:val="32"/>
        </w:rPr>
        <w:t>公务接待费支出预算为1.50万元，支出决算为0.59万元，完成预算的39.33%，决算数小于预算数的主要原因是公务接待次数人数减少，与上年相比减少0.70万元，减少54.26%,减少的主要原因是公务接待次数人数减少。</w:t>
      </w:r>
    </w:p>
    <w:p>
      <w:pPr>
        <w:pStyle w:val="12"/>
        <w:spacing w:line="360" w:lineRule="auto"/>
        <w:ind w:firstLine="640" w:firstLineChars="200"/>
        <w:rPr>
          <w:rFonts w:hint="default" w:ascii="Times New Roman" w:hAnsi="Times New Roman" w:cs="Times New Roman" w:eastAsiaTheme="minorEastAsia"/>
          <w:color w:val="auto"/>
          <w:sz w:val="32"/>
          <w:szCs w:val="32"/>
        </w:rPr>
      </w:pPr>
      <w:r>
        <w:rPr>
          <w:rFonts w:hint="default" w:ascii="Times New Roman" w:hAnsi="Times New Roman" w:cs="Times New Roman" w:eastAsiaTheme="minorEastAsia"/>
          <w:color w:val="auto"/>
          <w:sz w:val="32"/>
          <w:szCs w:val="32"/>
        </w:rPr>
        <w:t>公务用车购置费及运行维护费支出预算为2.00万元，支出决算为2.00万元，完成预算的100.00%，与上年相比减少4.91万元，减少71.06%,减少的主要原因是2020年减少2台公务用车。</w:t>
      </w:r>
    </w:p>
    <w:p>
      <w:pPr>
        <w:pStyle w:val="12"/>
        <w:spacing w:line="360" w:lineRule="auto"/>
        <w:rPr>
          <w:rFonts w:hint="default" w:ascii="Times New Roman" w:hAnsi="Times New Roman" w:cs="Times New Roman" w:eastAsiaTheme="minorEastAsia"/>
          <w:b/>
          <w:color w:val="auto"/>
          <w:sz w:val="32"/>
          <w:szCs w:val="32"/>
        </w:rPr>
      </w:pPr>
      <w:r>
        <w:rPr>
          <w:rFonts w:hint="default" w:ascii="Times New Roman" w:hAnsi="Times New Roman" w:cs="Times New Roman" w:eastAsiaTheme="minorEastAsia"/>
          <w:b/>
          <w:color w:val="auto"/>
          <w:sz w:val="32"/>
          <w:szCs w:val="32"/>
        </w:rPr>
        <w:t>（二）“三公”经费财政拨款支出决算具体情况说明</w:t>
      </w:r>
    </w:p>
    <w:p>
      <w:pPr>
        <w:pStyle w:val="12"/>
        <w:spacing w:line="360" w:lineRule="auto"/>
        <w:ind w:firstLine="640" w:firstLineChars="200"/>
        <w:rPr>
          <w:rFonts w:hint="default" w:ascii="Times New Roman" w:hAnsi="Times New Roman" w:cs="Times New Roman" w:eastAsiaTheme="minorEastAsia"/>
          <w:color w:val="auto"/>
          <w:sz w:val="32"/>
          <w:szCs w:val="32"/>
        </w:rPr>
      </w:pPr>
      <w:r>
        <w:rPr>
          <w:rFonts w:hint="default" w:ascii="Times New Roman" w:hAnsi="Times New Roman" w:cs="Times New Roman" w:eastAsiaTheme="minorEastAsia"/>
          <w:color w:val="auto"/>
          <w:sz w:val="32"/>
          <w:szCs w:val="32"/>
        </w:rPr>
        <w:t>2020年度“三公”经费财政拨款支出决算中，公务接待费支出决算0.59万元，占22.78%,</w:t>
      </w:r>
      <w:r>
        <w:rPr>
          <w:rFonts w:hint="default" w:ascii="Times New Roman" w:hAnsi="Times New Roman" w:cs="Times New Roman" w:eastAsiaTheme="minorEastAsia"/>
          <w:color w:val="auto"/>
          <w:sz w:val="32"/>
          <w:szCs w:val="32"/>
        </w:rPr>
        <w:t>因公出国（境）费支出决算0.00万元，占0.00%,</w:t>
      </w:r>
      <w:r>
        <w:rPr>
          <w:rFonts w:hint="default" w:ascii="Times New Roman" w:hAnsi="Times New Roman" w:cs="Times New Roman" w:eastAsiaTheme="minorEastAsia"/>
          <w:color w:val="auto"/>
          <w:sz w:val="32"/>
          <w:szCs w:val="32"/>
        </w:rPr>
        <w:t>公务用车购置费及运行维护费支出决算2.00万元，占77.22%。其中：</w:t>
      </w:r>
    </w:p>
    <w:p>
      <w:pPr>
        <w:pStyle w:val="12"/>
        <w:numPr>
          <w:ilvl w:val="0"/>
          <w:numId w:val="3"/>
        </w:numPr>
        <w:spacing w:line="360" w:lineRule="auto"/>
        <w:ind w:firstLine="640" w:firstLineChars="200"/>
        <w:rPr>
          <w:rFonts w:hint="default" w:ascii="Times New Roman" w:hAnsi="Times New Roman" w:cs="Times New Roman" w:eastAsiaTheme="minorEastAsia"/>
          <w:color w:val="auto"/>
          <w:sz w:val="32"/>
          <w:szCs w:val="32"/>
        </w:rPr>
      </w:pPr>
      <w:r>
        <w:rPr>
          <w:rFonts w:hint="default" w:ascii="Times New Roman" w:hAnsi="Times New Roman" w:cs="Times New Roman" w:eastAsiaTheme="minorEastAsia"/>
          <w:color w:val="auto"/>
          <w:sz w:val="32"/>
          <w:szCs w:val="32"/>
        </w:rPr>
        <w:t>因公出国（境）费支出决算为0.00万元，全年安排因公出国（境）团组0个，累计0人次。</w:t>
      </w:r>
    </w:p>
    <w:p>
      <w:pPr>
        <w:pStyle w:val="12"/>
        <w:spacing w:line="360" w:lineRule="auto"/>
        <w:ind w:firstLine="640" w:firstLineChars="200"/>
        <w:rPr>
          <w:rFonts w:hint="default" w:ascii="Times New Roman" w:hAnsi="Times New Roman" w:cs="Times New Roman" w:eastAsiaTheme="minorEastAsia"/>
          <w:color w:val="auto"/>
          <w:sz w:val="32"/>
          <w:szCs w:val="32"/>
        </w:rPr>
      </w:pPr>
      <w:r>
        <w:rPr>
          <w:rFonts w:hint="default" w:ascii="Times New Roman" w:hAnsi="Times New Roman" w:cs="Times New Roman" w:eastAsiaTheme="minorEastAsia"/>
          <w:color w:val="auto"/>
          <w:sz w:val="32"/>
          <w:szCs w:val="32"/>
        </w:rPr>
        <w:t>2、公务接待费支出决算为0.59万元，全年共接待来访批次12次、来宾</w:t>
      </w:r>
      <w:r>
        <w:rPr>
          <w:rFonts w:hint="eastAsia" w:ascii="Times New Roman" w:hAnsi="Times New Roman" w:cs="Times New Roman" w:eastAsiaTheme="minorEastAsia"/>
          <w:color w:val="002060"/>
          <w:sz w:val="32"/>
          <w:szCs w:val="32"/>
          <w:lang w:val="en-US" w:eastAsia="zh-CN"/>
        </w:rPr>
        <w:t>45</w:t>
      </w:r>
      <w:r>
        <w:rPr>
          <w:rFonts w:hint="default" w:ascii="Times New Roman" w:hAnsi="Times New Roman" w:cs="Times New Roman" w:eastAsiaTheme="minorEastAsia"/>
          <w:color w:val="auto"/>
          <w:sz w:val="32"/>
          <w:szCs w:val="32"/>
        </w:rPr>
        <w:t>人次，主要是</w:t>
      </w:r>
      <w:r>
        <w:rPr>
          <w:rFonts w:hint="default" w:ascii="Times New Roman" w:hAnsi="Times New Roman" w:cs="Times New Roman" w:eastAsiaTheme="minorEastAsia"/>
          <w:color w:val="auto"/>
          <w:sz w:val="32"/>
          <w:szCs w:val="32"/>
          <w:shd w:val="clear" w:color="auto" w:fill="FFFFFF"/>
        </w:rPr>
        <w:t>上级主管部门领导到本单位的视察、检查指导工作，兄弟单位前来参观、学习，以及本市相关单位来访</w:t>
      </w:r>
      <w:r>
        <w:rPr>
          <w:rFonts w:hint="default" w:ascii="Times New Roman" w:hAnsi="Times New Roman" w:cs="Times New Roman" w:eastAsiaTheme="minorEastAsia"/>
          <w:color w:val="auto"/>
          <w:sz w:val="32"/>
          <w:szCs w:val="32"/>
        </w:rPr>
        <w:t>发生的接待支出。</w:t>
      </w:r>
    </w:p>
    <w:p>
      <w:pPr>
        <w:spacing w:line="360" w:lineRule="auto"/>
        <w:ind w:firstLine="800" w:firstLineChars="250"/>
        <w:rPr>
          <w:rFonts w:hint="default" w:ascii="Times New Roman" w:hAnsi="Times New Roman" w:cs="Times New Roman"/>
          <w:color w:val="auto"/>
          <w:kern w:val="0"/>
          <w:sz w:val="32"/>
          <w:szCs w:val="32"/>
        </w:rPr>
      </w:pPr>
      <w:r>
        <w:rPr>
          <w:rFonts w:hint="default" w:ascii="Times New Roman" w:hAnsi="Times New Roman" w:cs="Times New Roman"/>
          <w:color w:val="auto"/>
          <w:sz w:val="32"/>
          <w:szCs w:val="32"/>
        </w:rPr>
        <w:t>3、公务用车购置费及运行维护费支出决算为2.00万元，其中：公务用车购置费0.00万元</w:t>
      </w:r>
      <w:r>
        <w:rPr>
          <w:rFonts w:hint="default" w:ascii="Times New Roman" w:hAnsi="Times New Roman" w:cs="Times New Roman"/>
          <w:color w:val="auto"/>
          <w:sz w:val="32"/>
          <w:szCs w:val="32"/>
        </w:rPr>
        <w:t>。</w:t>
      </w:r>
      <w:r>
        <w:rPr>
          <w:rFonts w:hint="default" w:ascii="Times New Roman" w:hAnsi="Times New Roman" w:cs="Times New Roman"/>
          <w:color w:val="auto"/>
          <w:sz w:val="32"/>
          <w:szCs w:val="32"/>
        </w:rPr>
        <w:t>公务用车运行维护费2.00万元，主要是公务用车运行维修费及燃油费支出，截止2020年12月31日，我单位开支财政拨款的公务用车保有量为3辆。</w:t>
      </w:r>
    </w:p>
    <w:p>
      <w:pPr>
        <w:pStyle w:val="12"/>
        <w:spacing w:line="360" w:lineRule="auto"/>
        <w:rPr>
          <w:rFonts w:hint="default" w:ascii="Times New Roman" w:hAnsi="Times New Roman" w:cs="Times New Roman"/>
          <w:b/>
          <w:color w:val="auto"/>
          <w:sz w:val="32"/>
          <w:szCs w:val="32"/>
        </w:rPr>
      </w:pPr>
      <w:r>
        <w:rPr>
          <w:rFonts w:hint="default" w:ascii="Times New Roman" w:hAnsi="Times New Roman" w:cs="Times New Roman"/>
          <w:b/>
          <w:color w:val="auto"/>
          <w:sz w:val="32"/>
          <w:szCs w:val="32"/>
        </w:rPr>
        <w:t>八、政府性基金预算收入支出决算情况</w:t>
      </w:r>
    </w:p>
    <w:p>
      <w:pPr>
        <w:pStyle w:val="12"/>
        <w:spacing w:line="360" w:lineRule="auto"/>
        <w:rPr>
          <w:rFonts w:hint="default" w:ascii="Times New Roman" w:hAnsi="Times New Roman" w:cs="Times New Roman" w:eastAsiaTheme="minorEastAsia"/>
          <w:color w:val="auto"/>
          <w:sz w:val="32"/>
          <w:szCs w:val="32"/>
        </w:rPr>
      </w:pPr>
      <w:r>
        <w:rPr>
          <w:rFonts w:hint="default" w:ascii="Times New Roman" w:hAnsi="Times New Roman" w:cs="Times New Roman" w:eastAsiaTheme="minorEastAsia"/>
          <w:color w:val="auto"/>
          <w:sz w:val="32"/>
          <w:szCs w:val="32"/>
        </w:rPr>
        <w:t xml:space="preserve">    本单位无政府性基金收支。</w:t>
      </w:r>
    </w:p>
    <w:p>
      <w:pPr>
        <w:pStyle w:val="12"/>
        <w:spacing w:line="360" w:lineRule="auto"/>
        <w:rPr>
          <w:rFonts w:hint="default" w:ascii="Times New Roman" w:hAnsi="Times New Roman" w:cs="Times New Roman"/>
          <w:b/>
          <w:color w:val="auto"/>
          <w:sz w:val="32"/>
          <w:szCs w:val="32"/>
        </w:rPr>
      </w:pPr>
      <w:r>
        <w:rPr>
          <w:rFonts w:hint="default" w:ascii="Times New Roman" w:hAnsi="Times New Roman" w:cs="Times New Roman"/>
          <w:b/>
          <w:color w:val="auto"/>
          <w:sz w:val="32"/>
          <w:szCs w:val="32"/>
        </w:rPr>
        <w:t>九、关于机关运行经费支出说明</w:t>
      </w:r>
    </w:p>
    <w:p>
      <w:pPr>
        <w:pStyle w:val="12"/>
        <w:spacing w:line="360" w:lineRule="auto"/>
        <w:ind w:firstLine="640" w:firstLineChars="200"/>
        <w:rPr>
          <w:rFonts w:hint="default" w:ascii="Times New Roman" w:hAnsi="Times New Roman" w:eastAsia="宋体" w:cs="Times New Roman"/>
          <w:color w:val="auto"/>
          <w:sz w:val="32"/>
          <w:szCs w:val="32"/>
        </w:rPr>
      </w:pPr>
      <w:r>
        <w:rPr>
          <w:rFonts w:hint="default" w:ascii="Times New Roman" w:hAnsi="Times New Roman" w:eastAsia="宋体" w:cs="Times New Roman"/>
          <w:color w:val="auto"/>
          <w:sz w:val="32"/>
          <w:szCs w:val="32"/>
        </w:rPr>
        <w:t>本</w:t>
      </w:r>
      <w:r>
        <w:rPr>
          <w:rFonts w:hint="default" w:ascii="Times New Roman" w:hAnsi="Times New Roman" w:eastAsia="宋体" w:cs="Times New Roman"/>
          <w:color w:val="auto"/>
          <w:sz w:val="32"/>
          <w:szCs w:val="32"/>
        </w:rPr>
        <w:t>单位性质为全额补助公益一类事业单位，不发生机关运行经费</w:t>
      </w:r>
      <w:r>
        <w:rPr>
          <w:rFonts w:hint="default" w:ascii="Times New Roman" w:hAnsi="Times New Roman" w:eastAsia="宋体" w:cs="Times New Roman"/>
          <w:color w:val="auto"/>
          <w:sz w:val="32"/>
          <w:szCs w:val="32"/>
        </w:rPr>
        <w:t>。</w:t>
      </w:r>
    </w:p>
    <w:p>
      <w:pPr>
        <w:pStyle w:val="12"/>
        <w:spacing w:line="360" w:lineRule="auto"/>
        <w:rPr>
          <w:rFonts w:hint="default" w:ascii="Times New Roman" w:hAnsi="Times New Roman" w:cs="Times New Roman"/>
          <w:b/>
          <w:color w:val="auto"/>
          <w:sz w:val="32"/>
          <w:szCs w:val="32"/>
        </w:rPr>
      </w:pPr>
      <w:r>
        <w:rPr>
          <w:rFonts w:hint="default" w:ascii="Times New Roman" w:hAnsi="Times New Roman" w:cs="Times New Roman"/>
          <w:b/>
          <w:color w:val="auto"/>
          <w:sz w:val="32"/>
          <w:szCs w:val="32"/>
        </w:rPr>
        <w:t>十、一般性支出情况</w:t>
      </w:r>
    </w:p>
    <w:p>
      <w:pPr>
        <w:pStyle w:val="12"/>
        <w:spacing w:line="360" w:lineRule="auto"/>
        <w:ind w:firstLine="640" w:firstLineChars="200"/>
        <w:rPr>
          <w:rFonts w:hint="default" w:ascii="Times New Roman" w:hAnsi="Times New Roman" w:cs="Times New Roman" w:eastAsiaTheme="minorEastAsia"/>
          <w:color w:val="auto"/>
          <w:sz w:val="32"/>
          <w:szCs w:val="32"/>
        </w:rPr>
      </w:pPr>
      <w:r>
        <w:rPr>
          <w:rFonts w:hint="default" w:ascii="Times New Roman" w:hAnsi="Times New Roman" w:cs="Times New Roman" w:eastAsiaTheme="minorEastAsia"/>
          <w:color w:val="auto"/>
          <w:sz w:val="32"/>
          <w:szCs w:val="32"/>
        </w:rPr>
        <w:t>2020年本部门开支无会议费；开支培训费0.77万元，用于在职职工机房技术人员参加主管部门组织的驻厂家学习培训，人数2人，内容为发射机工作原理培训；党员发展对象培训，人数1人，内容为党课培训；党员业务培训，人数2人，内容为巡察业务培训。本单位未举办节庆、晚会、论坛、赛事等活动，无相应支出。</w:t>
      </w:r>
    </w:p>
    <w:p>
      <w:pPr>
        <w:pStyle w:val="12"/>
        <w:spacing w:line="360" w:lineRule="auto"/>
        <w:rPr>
          <w:rFonts w:hint="default" w:ascii="Times New Roman" w:hAnsi="Times New Roman" w:cs="Times New Roman"/>
          <w:b/>
          <w:color w:val="auto"/>
          <w:sz w:val="32"/>
          <w:szCs w:val="32"/>
        </w:rPr>
      </w:pPr>
      <w:r>
        <w:rPr>
          <w:rFonts w:hint="default" w:ascii="Times New Roman" w:hAnsi="Times New Roman" w:cs="Times New Roman"/>
          <w:b/>
          <w:color w:val="auto"/>
          <w:sz w:val="32"/>
          <w:szCs w:val="32"/>
        </w:rPr>
        <w:t>十一、关于政府采购支出说明</w:t>
      </w:r>
    </w:p>
    <w:p>
      <w:pPr>
        <w:pStyle w:val="12"/>
        <w:spacing w:line="360" w:lineRule="auto"/>
        <w:ind w:firstLine="640" w:firstLineChars="200"/>
        <w:rPr>
          <w:rFonts w:hint="default" w:ascii="Times New Roman" w:hAnsi="Times New Roman" w:cs="Times New Roman" w:eastAsiaTheme="minorEastAsia"/>
          <w:color w:val="auto"/>
          <w:sz w:val="32"/>
          <w:szCs w:val="32"/>
        </w:rPr>
      </w:pPr>
      <w:r>
        <w:rPr>
          <w:rFonts w:hint="default" w:ascii="Times New Roman" w:hAnsi="Times New Roman" w:cs="Times New Roman" w:eastAsiaTheme="minorEastAsia"/>
          <w:color w:val="auto"/>
          <w:sz w:val="32"/>
          <w:szCs w:val="32"/>
        </w:rPr>
        <w:t>本部门2020年度政府采购支出总额5.00万元，其中：政府采购货物支出5.00万元、政府采购工程支出0.00万元、政府采购服务支出0.00万元。授予中小企业合同金额0.00万元，占政府采购支出总额的0.00%，其中：授予小微企业合同金额0.00万元，占政府采购支出总额的0.00%。</w:t>
      </w:r>
    </w:p>
    <w:p>
      <w:pPr>
        <w:pStyle w:val="12"/>
        <w:spacing w:line="360" w:lineRule="auto"/>
        <w:rPr>
          <w:rFonts w:hint="default" w:ascii="Times New Roman" w:hAnsi="Times New Roman" w:cs="Times New Roman"/>
          <w:b/>
          <w:color w:val="auto"/>
          <w:sz w:val="32"/>
          <w:szCs w:val="32"/>
        </w:rPr>
      </w:pPr>
      <w:r>
        <w:rPr>
          <w:rFonts w:hint="default" w:ascii="Times New Roman" w:hAnsi="Times New Roman" w:cs="Times New Roman"/>
          <w:b/>
          <w:color w:val="auto"/>
          <w:sz w:val="32"/>
          <w:szCs w:val="32"/>
        </w:rPr>
        <w:t>十二、关于国有资产占用情况说明</w:t>
      </w:r>
    </w:p>
    <w:p>
      <w:pPr>
        <w:spacing w:line="360" w:lineRule="auto"/>
        <w:ind w:firstLine="640" w:firstLineChars="200"/>
        <w:rPr>
          <w:rFonts w:hint="default" w:ascii="Times New Roman" w:hAnsi="Times New Roman" w:cs="Times New Roman"/>
          <w:color w:val="auto"/>
          <w:sz w:val="32"/>
          <w:szCs w:val="32"/>
        </w:rPr>
      </w:pPr>
      <w:r>
        <w:rPr>
          <w:rFonts w:hint="default" w:ascii="Times New Roman" w:hAnsi="Times New Roman" w:cs="Times New Roman"/>
          <w:color w:val="auto"/>
          <w:sz w:val="32"/>
          <w:szCs w:val="32"/>
        </w:rPr>
        <w:t>截至2020年12月31日，本单位共有车辆3辆，其中，主要领导干部用车0辆，机要通信用车0辆、应急保障用车0辆、执法执勤用车0辆、特种专业技术用车0辆、其他用车3辆，其他用车主要是专业技术用车</w:t>
      </w:r>
      <w:r>
        <w:rPr>
          <w:rFonts w:hint="default" w:ascii="Times New Roman" w:hAnsi="Times New Roman" w:cs="Times New Roman"/>
          <w:color w:val="auto"/>
          <w:sz w:val="32"/>
          <w:szCs w:val="32"/>
        </w:rPr>
        <w:t>（实际保留专业技术用车只有1辆，另2辆专业技术用车已拍卖，因拍卖方没有完成拍卖流程，无法提供资产处置回执单给我们进行固定资产账务处理，固定资产账面公务用车保有量仍为3辆）</w:t>
      </w:r>
      <w:r>
        <w:rPr>
          <w:rFonts w:hint="default" w:ascii="Times New Roman" w:hAnsi="Times New Roman" w:cs="Times New Roman"/>
          <w:color w:val="auto"/>
          <w:sz w:val="32"/>
          <w:szCs w:val="32"/>
        </w:rPr>
        <w:t>；单位价值50万元以上通用设备0台（套）；单位价值100万元以上专用设备0台（套）。</w:t>
      </w:r>
    </w:p>
    <w:p>
      <w:pPr>
        <w:pStyle w:val="12"/>
        <w:spacing w:line="360" w:lineRule="auto"/>
        <w:rPr>
          <w:rFonts w:hint="default" w:ascii="Times New Roman" w:hAnsi="Times New Roman" w:cs="Times New Roman"/>
          <w:b/>
          <w:color w:val="auto"/>
          <w:sz w:val="32"/>
          <w:szCs w:val="32"/>
        </w:rPr>
      </w:pPr>
      <w:r>
        <w:rPr>
          <w:rFonts w:hint="default" w:ascii="Times New Roman" w:hAnsi="Times New Roman" w:cs="Times New Roman"/>
          <w:b/>
          <w:color w:val="auto"/>
          <w:sz w:val="32"/>
          <w:szCs w:val="32"/>
        </w:rPr>
        <w:t>十三、关于2020年度预算绩效情况的说明</w:t>
      </w:r>
    </w:p>
    <w:p>
      <w:pPr>
        <w:spacing w:line="360" w:lineRule="auto"/>
        <w:ind w:firstLine="646"/>
        <w:rPr>
          <w:rFonts w:hint="default" w:ascii="Times New Roman" w:hAnsi="Times New Roman" w:cs="Times New Roman"/>
          <w:color w:val="auto"/>
          <w:sz w:val="32"/>
          <w:szCs w:val="32"/>
        </w:rPr>
      </w:pPr>
      <w:r>
        <w:rPr>
          <w:rFonts w:hint="default" w:ascii="Times New Roman" w:hAnsi="Times New Roman" w:cs="Times New Roman"/>
          <w:color w:val="auto"/>
          <w:sz w:val="32"/>
          <w:szCs w:val="32"/>
        </w:rPr>
        <w:t>为进一步规范财政资金管理，强化绩效和责任意识，切实提高财政资金使用效益，本部门积极开展预算绩效管理工作，具体内容：一是加强管理制度建设；二是加强预算编制绩效管理；三是完善项目绩效管理责任；四是认真做好年度预算部门整体支出绩效自评工作，并根据要求报送2020年度支出绩效自评表以及撰写部门整体支出绩效评价报告。（2020年度部门整体支出评价绩效报告见附件）</w:t>
      </w:r>
    </w:p>
    <w:p>
      <w:pPr>
        <w:pStyle w:val="12"/>
        <w:rPr>
          <w:rFonts w:hint="default" w:ascii="Times New Roman" w:hAnsi="Times New Roman" w:cs="Times New Roman"/>
          <w:b/>
          <w:color w:val="auto"/>
          <w:sz w:val="32"/>
          <w:szCs w:val="32"/>
        </w:rPr>
      </w:pPr>
    </w:p>
    <w:p>
      <w:pPr>
        <w:pStyle w:val="12"/>
        <w:jc w:val="center"/>
        <w:rPr>
          <w:rFonts w:hint="default" w:ascii="Times New Roman" w:hAnsi="Times New Roman" w:cs="Times New Roman"/>
          <w:color w:val="auto"/>
          <w:sz w:val="72"/>
          <w:szCs w:val="72"/>
        </w:rPr>
      </w:pPr>
    </w:p>
    <w:p>
      <w:pPr>
        <w:pStyle w:val="12"/>
        <w:jc w:val="center"/>
        <w:rPr>
          <w:rFonts w:hint="default" w:ascii="Times New Roman" w:hAnsi="Times New Roman" w:cs="Times New Roman"/>
          <w:color w:val="auto"/>
          <w:sz w:val="72"/>
          <w:szCs w:val="72"/>
        </w:rPr>
      </w:pPr>
    </w:p>
    <w:p>
      <w:pPr>
        <w:pStyle w:val="12"/>
        <w:jc w:val="center"/>
        <w:rPr>
          <w:rFonts w:hint="default" w:ascii="Times New Roman" w:hAnsi="Times New Roman" w:cs="Times New Roman"/>
          <w:color w:val="auto"/>
          <w:sz w:val="72"/>
          <w:szCs w:val="72"/>
        </w:rPr>
      </w:pPr>
    </w:p>
    <w:p>
      <w:pPr>
        <w:pStyle w:val="12"/>
        <w:jc w:val="center"/>
        <w:rPr>
          <w:rFonts w:hint="default" w:ascii="Times New Roman" w:hAnsi="Times New Roman" w:cs="Times New Roman"/>
          <w:color w:val="auto"/>
          <w:sz w:val="72"/>
          <w:szCs w:val="72"/>
        </w:rPr>
      </w:pPr>
    </w:p>
    <w:p>
      <w:pPr>
        <w:pStyle w:val="12"/>
        <w:jc w:val="center"/>
        <w:rPr>
          <w:rFonts w:hint="default" w:ascii="Times New Roman" w:hAnsi="Times New Roman" w:cs="Times New Roman"/>
          <w:color w:val="auto"/>
          <w:sz w:val="72"/>
          <w:szCs w:val="72"/>
        </w:rPr>
      </w:pPr>
    </w:p>
    <w:p>
      <w:pPr>
        <w:pStyle w:val="12"/>
        <w:jc w:val="center"/>
        <w:rPr>
          <w:rFonts w:hint="default" w:ascii="Times New Roman" w:hAnsi="Times New Roman" w:cs="Times New Roman"/>
          <w:color w:val="auto"/>
          <w:sz w:val="72"/>
          <w:szCs w:val="72"/>
        </w:rPr>
      </w:pPr>
    </w:p>
    <w:p>
      <w:pPr>
        <w:pStyle w:val="12"/>
        <w:jc w:val="center"/>
        <w:rPr>
          <w:rFonts w:hint="default" w:ascii="Times New Roman" w:hAnsi="Times New Roman" w:cs="Times New Roman"/>
          <w:color w:val="auto"/>
          <w:sz w:val="72"/>
          <w:szCs w:val="72"/>
        </w:rPr>
      </w:pPr>
    </w:p>
    <w:p>
      <w:pPr>
        <w:pStyle w:val="12"/>
        <w:jc w:val="center"/>
        <w:rPr>
          <w:rFonts w:hint="default" w:ascii="Times New Roman" w:hAnsi="Times New Roman" w:cs="Times New Roman"/>
          <w:color w:val="auto"/>
          <w:sz w:val="72"/>
          <w:szCs w:val="72"/>
        </w:rPr>
      </w:pPr>
    </w:p>
    <w:p>
      <w:pPr>
        <w:pStyle w:val="12"/>
        <w:jc w:val="center"/>
        <w:rPr>
          <w:rFonts w:hint="default" w:ascii="Times New Roman" w:hAnsi="Times New Roman" w:cs="Times New Roman"/>
          <w:color w:val="auto"/>
          <w:sz w:val="72"/>
          <w:szCs w:val="72"/>
        </w:rPr>
      </w:pPr>
    </w:p>
    <w:p>
      <w:pPr>
        <w:pStyle w:val="12"/>
        <w:jc w:val="center"/>
        <w:rPr>
          <w:rFonts w:hint="default" w:ascii="Times New Roman" w:hAnsi="Times New Roman" w:cs="Times New Roman"/>
          <w:color w:val="auto"/>
          <w:sz w:val="72"/>
          <w:szCs w:val="72"/>
        </w:rPr>
      </w:pPr>
    </w:p>
    <w:p>
      <w:pPr>
        <w:pStyle w:val="12"/>
        <w:jc w:val="center"/>
        <w:rPr>
          <w:rFonts w:hint="default" w:ascii="Times New Roman" w:hAnsi="Times New Roman" w:cs="Times New Roman"/>
          <w:color w:val="auto"/>
          <w:sz w:val="72"/>
          <w:szCs w:val="72"/>
        </w:rPr>
      </w:pPr>
    </w:p>
    <w:p>
      <w:pPr>
        <w:pStyle w:val="12"/>
        <w:jc w:val="center"/>
        <w:rPr>
          <w:rFonts w:hint="default" w:ascii="Times New Roman" w:hAnsi="Times New Roman" w:cs="Times New Roman"/>
          <w:color w:val="auto"/>
          <w:sz w:val="72"/>
          <w:szCs w:val="72"/>
        </w:rPr>
      </w:pPr>
    </w:p>
    <w:p>
      <w:pPr>
        <w:pStyle w:val="12"/>
        <w:jc w:val="center"/>
        <w:rPr>
          <w:rFonts w:hint="default" w:ascii="Times New Roman" w:hAnsi="Times New Roman" w:cs="Times New Roman"/>
          <w:color w:val="auto"/>
          <w:sz w:val="72"/>
          <w:szCs w:val="72"/>
        </w:rPr>
      </w:pPr>
    </w:p>
    <w:p>
      <w:pPr>
        <w:pStyle w:val="12"/>
        <w:jc w:val="center"/>
        <w:rPr>
          <w:rFonts w:hint="default" w:ascii="Times New Roman" w:hAnsi="Times New Roman" w:cs="Times New Roman"/>
          <w:color w:val="auto"/>
          <w:sz w:val="72"/>
          <w:szCs w:val="72"/>
        </w:rPr>
      </w:pPr>
    </w:p>
    <w:p>
      <w:pPr>
        <w:pStyle w:val="12"/>
        <w:jc w:val="center"/>
        <w:rPr>
          <w:rFonts w:hint="default" w:ascii="Times New Roman" w:hAnsi="Times New Roman" w:cs="Times New Roman"/>
          <w:color w:val="auto"/>
          <w:sz w:val="72"/>
          <w:szCs w:val="72"/>
        </w:rPr>
      </w:pPr>
      <w:r>
        <w:rPr>
          <w:rFonts w:hint="default" w:ascii="Times New Roman" w:hAnsi="Times New Roman" w:cs="Times New Roman"/>
          <w:color w:val="auto"/>
          <w:sz w:val="72"/>
          <w:szCs w:val="72"/>
        </w:rPr>
        <w:t>第四部分</w:t>
      </w:r>
    </w:p>
    <w:p>
      <w:pPr>
        <w:jc w:val="center"/>
        <w:rPr>
          <w:rFonts w:hint="default" w:ascii="Times New Roman" w:hAnsi="Times New Roman" w:eastAsia="黑体" w:cs="Times New Roman"/>
          <w:color w:val="auto"/>
          <w:kern w:val="0"/>
          <w:sz w:val="70"/>
          <w:szCs w:val="70"/>
        </w:rPr>
      </w:pPr>
    </w:p>
    <w:p>
      <w:pPr>
        <w:jc w:val="center"/>
        <w:rPr>
          <w:rFonts w:hint="default" w:ascii="Times New Roman" w:hAnsi="Times New Roman" w:eastAsia="黑体" w:cs="Times New Roman"/>
          <w:color w:val="auto"/>
          <w:kern w:val="0"/>
          <w:sz w:val="70"/>
          <w:szCs w:val="70"/>
        </w:rPr>
      </w:pPr>
      <w:r>
        <w:rPr>
          <w:rFonts w:hint="default" w:ascii="Times New Roman" w:hAnsi="Times New Roman" w:eastAsia="黑体" w:cs="Times New Roman"/>
          <w:color w:val="auto"/>
          <w:kern w:val="0"/>
          <w:sz w:val="70"/>
          <w:szCs w:val="70"/>
        </w:rPr>
        <w:t>名词解释</w:t>
      </w:r>
    </w:p>
    <w:p>
      <w:pPr>
        <w:widowControl/>
        <w:jc w:val="left"/>
        <w:rPr>
          <w:rFonts w:hint="default" w:ascii="Times New Roman" w:hAnsi="Times New Roman" w:eastAsia="黑体" w:cs="Times New Roman"/>
          <w:color w:val="auto"/>
          <w:kern w:val="0"/>
          <w:sz w:val="70"/>
          <w:szCs w:val="70"/>
        </w:rPr>
      </w:pPr>
      <w:r>
        <w:rPr>
          <w:rFonts w:hint="default" w:ascii="Times New Roman" w:hAnsi="Times New Roman" w:eastAsia="黑体" w:cs="Times New Roman"/>
          <w:color w:val="auto"/>
          <w:kern w:val="0"/>
          <w:sz w:val="70"/>
          <w:szCs w:val="70"/>
        </w:rPr>
        <w:br w:type="page"/>
      </w:r>
    </w:p>
    <w:p>
      <w:pPr>
        <w:widowControl/>
        <w:spacing w:line="360" w:lineRule="auto"/>
        <w:ind w:firstLine="640" w:firstLineChars="200"/>
        <w:jc w:val="left"/>
        <w:rPr>
          <w:rFonts w:hint="default" w:ascii="Times New Roman" w:hAnsi="Times New Roman" w:cs="Times New Roman" w:eastAsiaTheme="minorEastAsia"/>
          <w:color w:val="000000"/>
          <w:kern w:val="0"/>
          <w:sz w:val="32"/>
          <w:szCs w:val="32"/>
          <w:lang w:val="en-US" w:eastAsia="zh-CN" w:bidi="ar-SA"/>
        </w:rPr>
      </w:pPr>
      <w:r>
        <w:rPr>
          <w:rFonts w:hint="default" w:ascii="Times New Roman" w:hAnsi="Times New Roman" w:cs="Times New Roman" w:eastAsiaTheme="minorEastAsia"/>
          <w:color w:val="000000"/>
          <w:kern w:val="0"/>
          <w:sz w:val="32"/>
          <w:szCs w:val="32"/>
          <w:lang w:val="en-US" w:eastAsia="zh-CN" w:bidi="ar-SA"/>
        </w:rPr>
        <w:t>一、财政拨款收入:指省财政当年拨付的资金。</w:t>
      </w:r>
    </w:p>
    <w:p>
      <w:pPr>
        <w:widowControl/>
        <w:spacing w:line="360" w:lineRule="auto"/>
        <w:ind w:firstLine="640" w:firstLineChars="200"/>
        <w:jc w:val="left"/>
        <w:rPr>
          <w:rFonts w:hint="default" w:ascii="Times New Roman" w:hAnsi="Times New Roman" w:cs="Times New Roman" w:eastAsiaTheme="minorEastAsia"/>
          <w:color w:val="000000"/>
          <w:kern w:val="0"/>
          <w:sz w:val="32"/>
          <w:szCs w:val="32"/>
          <w:lang w:val="en-US" w:eastAsia="zh-CN" w:bidi="ar-SA"/>
        </w:rPr>
      </w:pPr>
      <w:r>
        <w:rPr>
          <w:rFonts w:hint="default" w:ascii="Times New Roman" w:hAnsi="Times New Roman" w:cs="Times New Roman" w:eastAsiaTheme="minorEastAsia"/>
          <w:color w:val="000000"/>
          <w:kern w:val="0"/>
          <w:sz w:val="32"/>
          <w:szCs w:val="32"/>
          <w:lang w:val="en-US" w:eastAsia="zh-CN" w:bidi="ar-SA"/>
        </w:rPr>
        <w:t>二</w:t>
      </w:r>
      <w:r>
        <w:rPr>
          <w:rFonts w:hint="default" w:ascii="Times New Roman" w:hAnsi="Times New Roman" w:cs="Times New Roman" w:eastAsiaTheme="minorEastAsia"/>
          <w:color w:val="000000"/>
          <w:kern w:val="0"/>
          <w:sz w:val="32"/>
          <w:szCs w:val="32"/>
          <w:lang w:val="en-US" w:eastAsia="zh-CN" w:bidi="ar-SA"/>
        </w:rPr>
        <w:t>、其他收入:指除上述“财政拨款”、“事业收入”、“事业单位经营收入”等以外的收入。主要是存款利息收入。</w:t>
      </w:r>
    </w:p>
    <w:p>
      <w:pPr>
        <w:widowControl/>
        <w:spacing w:line="360" w:lineRule="auto"/>
        <w:ind w:firstLine="640" w:firstLineChars="200"/>
        <w:jc w:val="left"/>
        <w:rPr>
          <w:rFonts w:hint="default" w:ascii="Times New Roman" w:hAnsi="Times New Roman" w:cs="Times New Roman" w:eastAsiaTheme="minorEastAsia"/>
          <w:color w:val="000000"/>
          <w:kern w:val="0"/>
          <w:sz w:val="32"/>
          <w:szCs w:val="32"/>
          <w:lang w:val="en-US" w:eastAsia="zh-CN" w:bidi="ar-SA"/>
        </w:rPr>
      </w:pPr>
      <w:r>
        <w:rPr>
          <w:rFonts w:hint="default" w:ascii="Times New Roman" w:hAnsi="Times New Roman" w:cs="Times New Roman" w:eastAsiaTheme="minorEastAsia"/>
          <w:color w:val="000000"/>
          <w:kern w:val="0"/>
          <w:sz w:val="32"/>
          <w:szCs w:val="32"/>
          <w:lang w:val="en-US" w:eastAsia="zh-CN" w:bidi="ar-SA"/>
        </w:rPr>
        <w:t>三</w:t>
      </w:r>
      <w:r>
        <w:rPr>
          <w:rFonts w:hint="default" w:ascii="Times New Roman" w:hAnsi="Times New Roman" w:cs="Times New Roman" w:eastAsiaTheme="minorEastAsia"/>
          <w:color w:val="000000"/>
          <w:kern w:val="0"/>
          <w:sz w:val="32"/>
          <w:szCs w:val="32"/>
          <w:lang w:val="en-US" w:eastAsia="zh-CN" w:bidi="ar-SA"/>
        </w:rPr>
        <w:t>、年初结转和结余:指以前年度支出预算因客观条件变化未执行完毕、结转到本年度按有关规定继续使用的资金。</w:t>
      </w:r>
    </w:p>
    <w:p>
      <w:pPr>
        <w:widowControl/>
        <w:spacing w:line="360" w:lineRule="auto"/>
        <w:ind w:firstLine="640" w:firstLineChars="200"/>
        <w:jc w:val="left"/>
        <w:rPr>
          <w:rFonts w:hint="default" w:ascii="Times New Roman" w:hAnsi="Times New Roman" w:cs="Times New Roman" w:eastAsiaTheme="minorEastAsia"/>
          <w:color w:val="000000"/>
          <w:kern w:val="0"/>
          <w:sz w:val="32"/>
          <w:szCs w:val="32"/>
          <w:lang w:val="en-US" w:eastAsia="zh-CN" w:bidi="ar-SA"/>
        </w:rPr>
      </w:pPr>
      <w:r>
        <w:rPr>
          <w:rFonts w:hint="default" w:ascii="Times New Roman" w:hAnsi="Times New Roman" w:cs="Times New Roman" w:eastAsiaTheme="minorEastAsia"/>
          <w:color w:val="000000"/>
          <w:kern w:val="0"/>
          <w:sz w:val="32"/>
          <w:szCs w:val="32"/>
          <w:lang w:val="en-US" w:eastAsia="zh-CN" w:bidi="ar-SA"/>
        </w:rPr>
        <w:t>四</w:t>
      </w:r>
      <w:r>
        <w:rPr>
          <w:rFonts w:hint="default" w:ascii="Times New Roman" w:hAnsi="Times New Roman" w:cs="Times New Roman" w:eastAsiaTheme="minorEastAsia"/>
          <w:color w:val="000000"/>
          <w:kern w:val="0"/>
          <w:sz w:val="32"/>
          <w:szCs w:val="32"/>
          <w:lang w:val="en-US" w:eastAsia="zh-CN" w:bidi="ar-SA"/>
        </w:rPr>
        <w:t>、基本支出:指为保障机构正常运转、完成日常工作任务所必需的开支,其内容包括人员经费和日常公用经费两部分。</w:t>
      </w:r>
    </w:p>
    <w:p>
      <w:pPr>
        <w:widowControl/>
        <w:spacing w:line="360" w:lineRule="auto"/>
        <w:ind w:firstLine="640" w:firstLineChars="200"/>
        <w:jc w:val="left"/>
        <w:rPr>
          <w:rFonts w:hint="default" w:ascii="Times New Roman" w:hAnsi="Times New Roman" w:cs="Times New Roman" w:eastAsiaTheme="minorEastAsia"/>
          <w:color w:val="000000"/>
          <w:kern w:val="0"/>
          <w:sz w:val="32"/>
          <w:szCs w:val="32"/>
          <w:lang w:val="en-US" w:eastAsia="zh-CN" w:bidi="ar-SA"/>
        </w:rPr>
      </w:pPr>
      <w:r>
        <w:rPr>
          <w:rFonts w:hint="default" w:ascii="Times New Roman" w:hAnsi="Times New Roman" w:cs="Times New Roman" w:eastAsiaTheme="minorEastAsia"/>
          <w:color w:val="000000"/>
          <w:kern w:val="0"/>
          <w:sz w:val="32"/>
          <w:szCs w:val="32"/>
          <w:lang w:val="en-US" w:eastAsia="zh-CN" w:bidi="ar-SA"/>
        </w:rPr>
        <w:t>五</w:t>
      </w:r>
      <w:r>
        <w:rPr>
          <w:rFonts w:hint="default" w:ascii="Times New Roman" w:hAnsi="Times New Roman" w:cs="Times New Roman" w:eastAsiaTheme="minorEastAsia"/>
          <w:color w:val="000000"/>
          <w:kern w:val="0"/>
          <w:sz w:val="32"/>
          <w:szCs w:val="32"/>
          <w:lang w:val="en-US" w:eastAsia="zh-CN" w:bidi="ar-SA"/>
        </w:rPr>
        <w:t>、项目支出:指在基本支出之外,为完成特定的行政工作任务或事业发展目标所发生的支出。</w:t>
      </w:r>
    </w:p>
    <w:p>
      <w:pPr>
        <w:widowControl/>
        <w:spacing w:line="360" w:lineRule="auto"/>
        <w:ind w:firstLine="640" w:firstLineChars="200"/>
        <w:jc w:val="left"/>
        <w:rPr>
          <w:rFonts w:hint="default" w:ascii="Times New Roman" w:hAnsi="Times New Roman" w:cs="Times New Roman" w:eastAsiaTheme="minorEastAsia"/>
          <w:color w:val="000000"/>
          <w:kern w:val="0"/>
          <w:sz w:val="32"/>
          <w:szCs w:val="32"/>
          <w:lang w:val="en-US" w:eastAsia="zh-CN" w:bidi="ar-SA"/>
        </w:rPr>
      </w:pPr>
      <w:r>
        <w:rPr>
          <w:rFonts w:hint="default" w:ascii="Times New Roman" w:hAnsi="Times New Roman" w:cs="Times New Roman" w:eastAsiaTheme="minorEastAsia"/>
          <w:color w:val="000000"/>
          <w:kern w:val="0"/>
          <w:sz w:val="32"/>
          <w:szCs w:val="32"/>
          <w:lang w:val="en-US" w:eastAsia="zh-CN" w:bidi="ar-SA"/>
        </w:rPr>
        <w:t>六</w:t>
      </w:r>
      <w:r>
        <w:rPr>
          <w:rFonts w:hint="default" w:ascii="Times New Roman" w:hAnsi="Times New Roman" w:cs="Times New Roman" w:eastAsiaTheme="minorEastAsia"/>
          <w:color w:val="000000"/>
          <w:kern w:val="0"/>
          <w:sz w:val="32"/>
          <w:szCs w:val="32"/>
          <w:lang w:val="en-US" w:eastAsia="zh-CN" w:bidi="ar-SA"/>
        </w:rPr>
        <w:t>、因公出国（境）费：指单位公务出国（境）的住宿费、旅费、伙食补助费、杂费、培训费等支出。</w:t>
      </w:r>
    </w:p>
    <w:p>
      <w:pPr>
        <w:widowControl/>
        <w:spacing w:line="360" w:lineRule="auto"/>
        <w:ind w:firstLine="640" w:firstLineChars="200"/>
        <w:jc w:val="left"/>
        <w:rPr>
          <w:rFonts w:hint="default" w:ascii="Times New Roman" w:hAnsi="Times New Roman" w:cs="Times New Roman" w:eastAsiaTheme="minorEastAsia"/>
          <w:color w:val="000000"/>
          <w:kern w:val="0"/>
          <w:sz w:val="32"/>
          <w:szCs w:val="32"/>
          <w:lang w:val="en-US" w:eastAsia="zh-CN" w:bidi="ar-SA"/>
        </w:rPr>
      </w:pPr>
      <w:r>
        <w:rPr>
          <w:rFonts w:hint="default" w:ascii="Times New Roman" w:hAnsi="Times New Roman" w:cs="Times New Roman" w:eastAsiaTheme="minorEastAsia"/>
          <w:color w:val="000000"/>
          <w:kern w:val="0"/>
          <w:sz w:val="32"/>
          <w:szCs w:val="32"/>
          <w:lang w:val="en-US" w:eastAsia="zh-CN" w:bidi="ar-SA"/>
        </w:rPr>
        <w:t>七</w:t>
      </w:r>
      <w:r>
        <w:rPr>
          <w:rFonts w:hint="default" w:ascii="Times New Roman" w:hAnsi="Times New Roman" w:cs="Times New Roman" w:eastAsiaTheme="minorEastAsia"/>
          <w:color w:val="000000"/>
          <w:kern w:val="0"/>
          <w:sz w:val="32"/>
          <w:szCs w:val="32"/>
          <w:lang w:val="en-US" w:eastAsia="zh-CN" w:bidi="ar-SA"/>
        </w:rPr>
        <w:t>、公务用车购置费：指单位公务车辆购置支出，包括车辆购置税支出。</w:t>
      </w:r>
    </w:p>
    <w:p>
      <w:pPr>
        <w:widowControl/>
        <w:spacing w:line="360" w:lineRule="auto"/>
        <w:ind w:firstLine="640" w:firstLineChars="200"/>
        <w:jc w:val="left"/>
        <w:rPr>
          <w:rFonts w:hint="default" w:ascii="Times New Roman" w:hAnsi="Times New Roman" w:cs="Times New Roman" w:eastAsiaTheme="minorEastAsia"/>
          <w:color w:val="000000"/>
          <w:kern w:val="0"/>
          <w:sz w:val="32"/>
          <w:szCs w:val="32"/>
          <w:lang w:val="en-US" w:eastAsia="zh-CN" w:bidi="ar-SA"/>
        </w:rPr>
      </w:pPr>
      <w:r>
        <w:rPr>
          <w:rFonts w:hint="default" w:ascii="Times New Roman" w:hAnsi="Times New Roman" w:cs="Times New Roman" w:eastAsiaTheme="minorEastAsia"/>
          <w:color w:val="000000"/>
          <w:kern w:val="0"/>
          <w:sz w:val="32"/>
          <w:szCs w:val="32"/>
          <w:lang w:val="en-US" w:eastAsia="zh-CN" w:bidi="ar-SA"/>
        </w:rPr>
        <w:t>八</w:t>
      </w:r>
      <w:r>
        <w:rPr>
          <w:rFonts w:hint="default" w:ascii="Times New Roman" w:hAnsi="Times New Roman" w:cs="Times New Roman" w:eastAsiaTheme="minorEastAsia"/>
          <w:color w:val="000000"/>
          <w:kern w:val="0"/>
          <w:sz w:val="32"/>
          <w:szCs w:val="32"/>
          <w:lang w:val="en-US" w:eastAsia="zh-CN" w:bidi="ar-SA"/>
        </w:rPr>
        <w:t>、公务用车运行维护费：指单位公务用车租用费、燃料费、维修费、过路过桥费、保险费、安全奖励费用等支出。</w:t>
      </w:r>
    </w:p>
    <w:p>
      <w:pPr>
        <w:widowControl/>
        <w:spacing w:line="360" w:lineRule="auto"/>
        <w:ind w:firstLine="640" w:firstLineChars="200"/>
        <w:jc w:val="left"/>
        <w:rPr>
          <w:rFonts w:hint="default" w:ascii="Times New Roman" w:hAnsi="Times New Roman" w:cs="Times New Roman" w:eastAsiaTheme="minorEastAsia"/>
          <w:color w:val="000000"/>
          <w:kern w:val="0"/>
          <w:sz w:val="32"/>
          <w:szCs w:val="32"/>
          <w:lang w:val="en-US" w:eastAsia="zh-CN" w:bidi="ar-SA"/>
        </w:rPr>
      </w:pPr>
      <w:r>
        <w:rPr>
          <w:rFonts w:hint="default" w:ascii="Times New Roman" w:hAnsi="Times New Roman" w:cs="Times New Roman" w:eastAsiaTheme="minorEastAsia"/>
          <w:color w:val="000000"/>
          <w:kern w:val="0"/>
          <w:sz w:val="32"/>
          <w:szCs w:val="32"/>
          <w:lang w:val="en-US" w:eastAsia="zh-CN" w:bidi="ar-SA"/>
        </w:rPr>
        <w:t>九</w:t>
      </w:r>
      <w:r>
        <w:rPr>
          <w:rFonts w:hint="default" w:ascii="Times New Roman" w:hAnsi="Times New Roman" w:cs="Times New Roman" w:eastAsiaTheme="minorEastAsia"/>
          <w:color w:val="000000"/>
          <w:kern w:val="0"/>
          <w:sz w:val="32"/>
          <w:szCs w:val="32"/>
          <w:lang w:val="en-US" w:eastAsia="zh-CN" w:bidi="ar-SA"/>
        </w:rPr>
        <w:t>、公务接待费：指单位按规定开支的各类公务接待（含 外宾接待）费用。</w:t>
      </w:r>
    </w:p>
    <w:p>
      <w:pPr>
        <w:widowControl/>
        <w:spacing w:line="360" w:lineRule="auto"/>
        <w:ind w:firstLine="640" w:firstLineChars="200"/>
        <w:jc w:val="left"/>
        <w:rPr>
          <w:rFonts w:hint="default" w:ascii="Times New Roman" w:hAnsi="Times New Roman" w:cs="Times New Roman" w:eastAsiaTheme="minorEastAsia"/>
          <w:color w:val="000000"/>
          <w:kern w:val="0"/>
          <w:sz w:val="32"/>
          <w:szCs w:val="32"/>
          <w:lang w:val="en-US" w:eastAsia="zh-CN" w:bidi="ar-SA"/>
        </w:rPr>
      </w:pPr>
      <w:r>
        <w:rPr>
          <w:rFonts w:hint="default" w:ascii="Times New Roman" w:hAnsi="Times New Roman" w:cs="Times New Roman" w:eastAsiaTheme="minorEastAsia"/>
          <w:color w:val="000000"/>
          <w:kern w:val="0"/>
          <w:sz w:val="32"/>
          <w:szCs w:val="32"/>
          <w:lang w:val="en-US" w:eastAsia="zh-CN" w:bidi="ar-SA"/>
        </w:rPr>
        <w:t>十、机关运行经费: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widowControl/>
        <w:spacing w:line="360" w:lineRule="auto"/>
        <w:ind w:firstLine="640" w:firstLineChars="200"/>
        <w:jc w:val="left"/>
        <w:rPr>
          <w:rFonts w:hint="default" w:ascii="Times New Roman" w:hAnsi="Times New Roman" w:cs="Times New Roman" w:eastAsiaTheme="minorEastAsia"/>
          <w:color w:val="000000"/>
          <w:kern w:val="0"/>
          <w:sz w:val="32"/>
          <w:szCs w:val="32"/>
          <w:lang w:val="en-US" w:eastAsia="zh-CN" w:bidi="ar-SA"/>
        </w:rPr>
      </w:pPr>
      <w:r>
        <w:rPr>
          <w:rFonts w:hint="default" w:ascii="Times New Roman" w:hAnsi="Times New Roman" w:cs="Times New Roman" w:eastAsiaTheme="minorEastAsia"/>
          <w:color w:val="000000"/>
          <w:kern w:val="0"/>
          <w:sz w:val="32"/>
          <w:szCs w:val="32"/>
          <w:lang w:val="en-US" w:eastAsia="zh-CN" w:bidi="ar-SA"/>
        </w:rPr>
        <w:t>十</w:t>
      </w:r>
      <w:r>
        <w:rPr>
          <w:rFonts w:hint="default" w:ascii="Times New Roman" w:hAnsi="Times New Roman" w:cs="Times New Roman" w:eastAsiaTheme="minorEastAsia"/>
          <w:color w:val="000000"/>
          <w:kern w:val="0"/>
          <w:sz w:val="32"/>
          <w:szCs w:val="32"/>
          <w:lang w:val="en-US" w:eastAsia="zh-CN" w:bidi="ar-SA"/>
        </w:rPr>
        <w:t>一</w:t>
      </w:r>
      <w:r>
        <w:rPr>
          <w:rFonts w:hint="default" w:ascii="Times New Roman" w:hAnsi="Times New Roman" w:cs="Times New Roman" w:eastAsiaTheme="minorEastAsia"/>
          <w:color w:val="000000"/>
          <w:kern w:val="0"/>
          <w:sz w:val="32"/>
          <w:szCs w:val="32"/>
          <w:lang w:val="en-US" w:eastAsia="zh-CN" w:bidi="ar-SA"/>
        </w:rPr>
        <w:t>、年末结转和结余：指本年度或以前年度预算安排、因客观条件发生变化无法按原计划实施，需延迟到以后年度按有关规定继续使用的资金。</w:t>
      </w:r>
    </w:p>
    <w:p>
      <w:pPr>
        <w:pStyle w:val="12"/>
        <w:jc w:val="center"/>
        <w:rPr>
          <w:rFonts w:hint="default" w:ascii="Times New Roman" w:hAnsi="Times New Roman" w:cs="Times New Roman"/>
          <w:color w:val="auto"/>
          <w:sz w:val="32"/>
          <w:szCs w:val="32"/>
        </w:rPr>
      </w:pPr>
    </w:p>
    <w:p>
      <w:pPr>
        <w:pStyle w:val="12"/>
        <w:jc w:val="center"/>
        <w:rPr>
          <w:rFonts w:hint="default" w:ascii="Times New Roman" w:hAnsi="Times New Roman" w:cs="Times New Roman"/>
          <w:color w:val="auto"/>
          <w:sz w:val="72"/>
          <w:szCs w:val="72"/>
        </w:rPr>
      </w:pPr>
    </w:p>
    <w:p>
      <w:pPr>
        <w:pStyle w:val="12"/>
        <w:jc w:val="center"/>
        <w:rPr>
          <w:rFonts w:hint="default" w:ascii="Times New Roman" w:hAnsi="Times New Roman" w:cs="Times New Roman"/>
          <w:color w:val="auto"/>
          <w:sz w:val="72"/>
          <w:szCs w:val="72"/>
        </w:rPr>
      </w:pPr>
    </w:p>
    <w:p>
      <w:pPr>
        <w:pStyle w:val="12"/>
        <w:jc w:val="center"/>
        <w:rPr>
          <w:rFonts w:hint="default" w:ascii="Times New Roman" w:hAnsi="Times New Roman" w:cs="Times New Roman"/>
          <w:color w:val="auto"/>
          <w:sz w:val="72"/>
          <w:szCs w:val="72"/>
        </w:rPr>
      </w:pPr>
    </w:p>
    <w:p>
      <w:pPr>
        <w:pStyle w:val="12"/>
        <w:jc w:val="center"/>
        <w:rPr>
          <w:rFonts w:hint="default" w:ascii="Times New Roman" w:hAnsi="Times New Roman" w:cs="Times New Roman"/>
          <w:color w:val="auto"/>
          <w:sz w:val="72"/>
          <w:szCs w:val="72"/>
        </w:rPr>
      </w:pPr>
    </w:p>
    <w:p>
      <w:pPr>
        <w:pStyle w:val="12"/>
        <w:jc w:val="center"/>
        <w:rPr>
          <w:rFonts w:hint="default" w:ascii="Times New Roman" w:hAnsi="Times New Roman" w:cs="Times New Roman"/>
          <w:color w:val="auto"/>
          <w:sz w:val="72"/>
          <w:szCs w:val="72"/>
        </w:rPr>
      </w:pPr>
    </w:p>
    <w:p>
      <w:pPr>
        <w:pStyle w:val="12"/>
        <w:jc w:val="center"/>
        <w:rPr>
          <w:rFonts w:hint="default" w:ascii="Times New Roman" w:hAnsi="Times New Roman" w:cs="Times New Roman"/>
          <w:color w:val="auto"/>
          <w:sz w:val="72"/>
          <w:szCs w:val="72"/>
        </w:rPr>
      </w:pPr>
    </w:p>
    <w:p>
      <w:pPr>
        <w:pStyle w:val="12"/>
        <w:jc w:val="center"/>
        <w:rPr>
          <w:rFonts w:hint="default" w:ascii="Times New Roman" w:hAnsi="Times New Roman" w:cs="Times New Roman"/>
          <w:color w:val="auto"/>
          <w:sz w:val="72"/>
          <w:szCs w:val="72"/>
        </w:rPr>
      </w:pPr>
    </w:p>
    <w:p>
      <w:pPr>
        <w:pStyle w:val="12"/>
        <w:jc w:val="center"/>
        <w:rPr>
          <w:rFonts w:hint="default" w:ascii="Times New Roman" w:hAnsi="Times New Roman" w:cs="Times New Roman"/>
          <w:color w:val="auto"/>
          <w:sz w:val="72"/>
          <w:szCs w:val="72"/>
        </w:rPr>
      </w:pPr>
    </w:p>
    <w:p>
      <w:pPr>
        <w:pStyle w:val="12"/>
        <w:jc w:val="center"/>
        <w:rPr>
          <w:rFonts w:hint="default" w:ascii="Times New Roman" w:hAnsi="Times New Roman" w:cs="Times New Roman"/>
          <w:color w:val="auto"/>
          <w:sz w:val="72"/>
          <w:szCs w:val="72"/>
        </w:rPr>
      </w:pPr>
    </w:p>
    <w:p>
      <w:pPr>
        <w:pStyle w:val="12"/>
        <w:jc w:val="center"/>
        <w:rPr>
          <w:rFonts w:hint="default" w:ascii="Times New Roman" w:hAnsi="Times New Roman" w:cs="Times New Roman"/>
          <w:color w:val="auto"/>
          <w:sz w:val="72"/>
          <w:szCs w:val="72"/>
        </w:rPr>
      </w:pPr>
    </w:p>
    <w:p>
      <w:pPr>
        <w:pStyle w:val="12"/>
        <w:jc w:val="center"/>
        <w:rPr>
          <w:rFonts w:hint="default" w:ascii="Times New Roman" w:hAnsi="Times New Roman" w:cs="Times New Roman"/>
          <w:color w:val="auto"/>
          <w:sz w:val="72"/>
          <w:szCs w:val="72"/>
        </w:rPr>
      </w:pPr>
    </w:p>
    <w:p>
      <w:pPr>
        <w:pStyle w:val="12"/>
        <w:jc w:val="center"/>
        <w:rPr>
          <w:rFonts w:hint="default" w:ascii="Times New Roman" w:hAnsi="Times New Roman" w:cs="Times New Roman"/>
          <w:color w:val="auto"/>
          <w:sz w:val="72"/>
          <w:szCs w:val="72"/>
        </w:rPr>
      </w:pPr>
    </w:p>
    <w:p>
      <w:pPr>
        <w:pStyle w:val="12"/>
        <w:jc w:val="center"/>
        <w:rPr>
          <w:rFonts w:hint="default" w:ascii="Times New Roman" w:hAnsi="Times New Roman" w:cs="Times New Roman"/>
          <w:color w:val="auto"/>
          <w:sz w:val="72"/>
          <w:szCs w:val="72"/>
        </w:rPr>
      </w:pPr>
    </w:p>
    <w:p>
      <w:pPr>
        <w:pStyle w:val="12"/>
        <w:jc w:val="center"/>
        <w:rPr>
          <w:rFonts w:hint="default" w:ascii="Times New Roman" w:hAnsi="Times New Roman" w:cs="Times New Roman"/>
          <w:color w:val="auto"/>
          <w:sz w:val="72"/>
          <w:szCs w:val="72"/>
        </w:rPr>
      </w:pPr>
    </w:p>
    <w:p>
      <w:pPr>
        <w:pStyle w:val="12"/>
        <w:jc w:val="center"/>
        <w:rPr>
          <w:rFonts w:hint="default" w:ascii="Times New Roman" w:hAnsi="Times New Roman" w:cs="Times New Roman"/>
          <w:color w:val="auto"/>
          <w:sz w:val="72"/>
          <w:szCs w:val="72"/>
        </w:rPr>
      </w:pPr>
    </w:p>
    <w:p>
      <w:pPr>
        <w:pStyle w:val="12"/>
        <w:jc w:val="center"/>
        <w:rPr>
          <w:rFonts w:hint="default" w:ascii="Times New Roman" w:hAnsi="Times New Roman" w:cs="Times New Roman"/>
          <w:color w:val="auto"/>
          <w:sz w:val="72"/>
          <w:szCs w:val="72"/>
        </w:rPr>
      </w:pPr>
    </w:p>
    <w:p>
      <w:pPr>
        <w:pStyle w:val="12"/>
        <w:jc w:val="center"/>
        <w:rPr>
          <w:rFonts w:hint="default" w:ascii="Times New Roman" w:hAnsi="Times New Roman" w:cs="Times New Roman"/>
          <w:color w:val="auto"/>
          <w:sz w:val="72"/>
          <w:szCs w:val="72"/>
        </w:rPr>
      </w:pPr>
    </w:p>
    <w:p>
      <w:pPr>
        <w:pStyle w:val="12"/>
        <w:jc w:val="center"/>
        <w:rPr>
          <w:rFonts w:hint="default" w:ascii="Times New Roman" w:hAnsi="Times New Roman" w:cs="Times New Roman"/>
          <w:color w:val="auto"/>
          <w:sz w:val="72"/>
          <w:szCs w:val="72"/>
        </w:rPr>
      </w:pPr>
    </w:p>
    <w:p>
      <w:pPr>
        <w:pStyle w:val="12"/>
        <w:jc w:val="center"/>
        <w:rPr>
          <w:rFonts w:hint="default" w:ascii="Times New Roman" w:hAnsi="Times New Roman" w:cs="Times New Roman"/>
          <w:color w:val="auto"/>
          <w:sz w:val="72"/>
          <w:szCs w:val="72"/>
        </w:rPr>
      </w:pPr>
    </w:p>
    <w:p>
      <w:pPr>
        <w:pStyle w:val="12"/>
        <w:jc w:val="center"/>
        <w:rPr>
          <w:rFonts w:hint="default" w:ascii="Times New Roman" w:hAnsi="Times New Roman" w:cs="Times New Roman"/>
          <w:color w:val="auto"/>
          <w:sz w:val="72"/>
          <w:szCs w:val="72"/>
        </w:rPr>
      </w:pPr>
      <w:r>
        <w:rPr>
          <w:rFonts w:hint="default" w:ascii="Times New Roman" w:hAnsi="Times New Roman" w:cs="Times New Roman"/>
          <w:color w:val="auto"/>
          <w:sz w:val="72"/>
          <w:szCs w:val="72"/>
        </w:rPr>
        <w:t>第五部分</w:t>
      </w:r>
    </w:p>
    <w:p>
      <w:pPr>
        <w:jc w:val="center"/>
        <w:rPr>
          <w:rFonts w:hint="default" w:ascii="Times New Roman" w:hAnsi="Times New Roman" w:eastAsia="黑体" w:cs="Times New Roman"/>
          <w:color w:val="auto"/>
          <w:kern w:val="0"/>
          <w:sz w:val="70"/>
          <w:szCs w:val="70"/>
        </w:rPr>
      </w:pPr>
    </w:p>
    <w:p>
      <w:pPr>
        <w:jc w:val="center"/>
        <w:rPr>
          <w:rFonts w:hint="default" w:ascii="Times New Roman" w:hAnsi="Times New Roman" w:eastAsia="黑体" w:cs="Times New Roman"/>
          <w:color w:val="auto"/>
          <w:kern w:val="0"/>
          <w:sz w:val="70"/>
          <w:szCs w:val="70"/>
        </w:rPr>
      </w:pPr>
      <w:r>
        <w:rPr>
          <w:rFonts w:hint="default" w:ascii="Times New Roman" w:hAnsi="Times New Roman" w:eastAsia="黑体" w:cs="Times New Roman"/>
          <w:color w:val="auto"/>
          <w:kern w:val="0"/>
          <w:sz w:val="70"/>
          <w:szCs w:val="70"/>
        </w:rPr>
        <w:t>附件</w:t>
      </w:r>
    </w:p>
    <w:p>
      <w:pPr>
        <w:widowControl/>
        <w:jc w:val="left"/>
        <w:rPr>
          <w:rFonts w:hint="default" w:ascii="Times New Roman" w:hAnsi="Times New Roman" w:eastAsia="黑体" w:cs="Times New Roman"/>
          <w:color w:val="auto"/>
          <w:kern w:val="0"/>
          <w:sz w:val="70"/>
          <w:szCs w:val="70"/>
        </w:rPr>
      </w:pPr>
      <w:r>
        <w:rPr>
          <w:rFonts w:hint="default" w:ascii="Times New Roman" w:hAnsi="Times New Roman" w:eastAsia="黑体" w:cs="Times New Roman"/>
          <w:color w:val="auto"/>
          <w:kern w:val="0"/>
          <w:sz w:val="70"/>
          <w:szCs w:val="70"/>
        </w:rPr>
        <w:br w:type="page"/>
      </w:r>
    </w:p>
    <w:p>
      <w:pPr>
        <w:jc w:val="center"/>
        <w:rPr>
          <w:rFonts w:hint="default" w:ascii="Times New Roman" w:hAnsi="Times New Roman" w:cs="Times New Roman"/>
          <w:b/>
          <w:color w:val="auto"/>
          <w:kern w:val="0"/>
          <w:sz w:val="52"/>
          <w:szCs w:val="52"/>
        </w:rPr>
      </w:pPr>
      <w:r>
        <w:rPr>
          <w:rFonts w:hint="default" w:ascii="Times New Roman" w:hAnsi="Times New Roman" w:cs="Times New Roman"/>
          <w:b/>
          <w:color w:val="auto"/>
          <w:kern w:val="0"/>
          <w:sz w:val="52"/>
          <w:szCs w:val="52"/>
        </w:rPr>
        <w:t>2020年度湖南省新闻出版广电局岳阳中波转播台</w:t>
      </w:r>
      <w:r>
        <w:rPr>
          <w:rFonts w:hint="default" w:ascii="Times New Roman" w:hAnsi="Times New Roman" w:cs="Times New Roman"/>
          <w:b/>
          <w:color w:val="auto"/>
          <w:kern w:val="0"/>
          <w:sz w:val="52"/>
          <w:szCs w:val="52"/>
        </w:rPr>
        <w:t>部门整体支出绩效评价报告</w:t>
      </w:r>
    </w:p>
    <w:p>
      <w:pPr>
        <w:jc w:val="center"/>
        <w:rPr>
          <w:rFonts w:hint="default" w:ascii="Times New Roman" w:hAnsi="Times New Roman" w:cs="Times New Roman"/>
          <w:b/>
          <w:color w:val="auto"/>
          <w:kern w:val="0"/>
          <w:sz w:val="40"/>
          <w:szCs w:val="40"/>
        </w:rPr>
      </w:pPr>
    </w:p>
    <w:p>
      <w:pPr>
        <w:ind w:firstLine="562" w:firstLineChars="200"/>
        <w:rPr>
          <w:rFonts w:hint="default" w:ascii="Times New Roman" w:hAnsi="Times New Roman" w:cs="Times New Roman"/>
          <w:b/>
          <w:bCs/>
          <w:color w:val="auto"/>
          <w:sz w:val="28"/>
          <w:szCs w:val="28"/>
        </w:rPr>
      </w:pPr>
    </w:p>
    <w:p>
      <w:pPr>
        <w:spacing w:line="360" w:lineRule="auto"/>
        <w:ind w:firstLine="643" w:firstLineChars="200"/>
        <w:rPr>
          <w:rFonts w:hint="default" w:ascii="Times New Roman" w:hAnsi="Times New Roman" w:cs="Times New Roman"/>
          <w:b/>
          <w:bCs/>
          <w:color w:val="auto"/>
          <w:sz w:val="32"/>
          <w:szCs w:val="32"/>
        </w:rPr>
      </w:pPr>
      <w:r>
        <w:rPr>
          <w:rFonts w:hint="default" w:ascii="Times New Roman" w:hAnsi="Times New Roman" w:cs="Times New Roman"/>
          <w:b/>
          <w:bCs/>
          <w:color w:val="auto"/>
          <w:sz w:val="32"/>
          <w:szCs w:val="32"/>
        </w:rPr>
        <w:t>一、单位基本情况</w:t>
      </w:r>
    </w:p>
    <w:p>
      <w:pPr>
        <w:spacing w:line="360" w:lineRule="auto"/>
        <w:ind w:firstLine="640" w:firstLineChars="200"/>
        <w:rPr>
          <w:rFonts w:hint="default" w:ascii="Times New Roman" w:hAnsi="Times New Roman" w:cs="Times New Roman"/>
          <w:color w:val="auto"/>
          <w:sz w:val="32"/>
          <w:szCs w:val="32"/>
        </w:rPr>
      </w:pPr>
      <w:r>
        <w:rPr>
          <w:rFonts w:hint="default" w:ascii="Times New Roman" w:hAnsi="Times New Roman" w:cs="Times New Roman"/>
          <w:color w:val="auto"/>
          <w:sz w:val="32"/>
          <w:szCs w:val="32"/>
        </w:rPr>
        <w:t>湖南省新闻出版广电局岳阳中波转播台成立于1972年01月，为副处级单位，全台现有人员47人，其中在职24人，退休23人，设办公室、机房、开发部、安全保卫部。我台发射基地有斜拉式76米铁塔2座，自立式76米铁塔1座，各频率发射主备机8台。</w:t>
      </w:r>
    </w:p>
    <w:p>
      <w:pPr>
        <w:spacing w:line="360" w:lineRule="auto"/>
        <w:ind w:firstLine="640" w:firstLineChars="200"/>
        <w:rPr>
          <w:rFonts w:hint="default" w:ascii="Times New Roman" w:hAnsi="Times New Roman" w:cs="Times New Roman"/>
          <w:color w:val="auto"/>
          <w:sz w:val="32"/>
          <w:szCs w:val="32"/>
        </w:rPr>
      </w:pPr>
      <w:r>
        <w:rPr>
          <w:rFonts w:hint="default" w:ascii="Times New Roman" w:hAnsi="Times New Roman" w:cs="Times New Roman"/>
          <w:color w:val="auto"/>
          <w:sz w:val="32"/>
          <w:szCs w:val="32"/>
        </w:rPr>
        <w:t>我台多次被省局评为“安全播出先进单位”、“安全播出优胜单位”，是湖南省中波骨干台之一，频率927KHZ，功率1KW，转播中央人民广播电台中波之声；频率1233KHZ，功率10KW，转播湖南人民广播电台新闻频道；还肩负着国家特殊转播任务，另外有2套在播实验频率。（共5套实验频率）</w:t>
      </w:r>
    </w:p>
    <w:p>
      <w:pPr>
        <w:spacing w:line="360" w:lineRule="auto"/>
        <w:ind w:firstLine="643" w:firstLineChars="200"/>
        <w:rPr>
          <w:rFonts w:hint="default" w:ascii="Times New Roman" w:hAnsi="Times New Roman" w:cs="Times New Roman"/>
          <w:b/>
          <w:bCs/>
          <w:color w:val="auto"/>
          <w:sz w:val="32"/>
          <w:szCs w:val="32"/>
        </w:rPr>
      </w:pPr>
      <w:r>
        <w:rPr>
          <w:rFonts w:hint="default" w:ascii="Times New Roman" w:hAnsi="Times New Roman" w:cs="Times New Roman"/>
          <w:b/>
          <w:bCs/>
          <w:color w:val="auto"/>
          <w:sz w:val="32"/>
          <w:szCs w:val="32"/>
        </w:rPr>
        <w:t>二、 一般公共预算支出情况</w:t>
      </w:r>
    </w:p>
    <w:p>
      <w:pPr>
        <w:spacing w:line="360" w:lineRule="auto"/>
        <w:ind w:firstLine="640" w:firstLineChars="200"/>
        <w:rPr>
          <w:rFonts w:hint="default" w:ascii="Times New Roman" w:hAnsi="Times New Roman" w:cs="Times New Roman"/>
          <w:color w:val="auto"/>
          <w:sz w:val="32"/>
          <w:szCs w:val="32"/>
        </w:rPr>
      </w:pPr>
      <w:r>
        <w:rPr>
          <w:rFonts w:hint="default" w:ascii="Times New Roman" w:hAnsi="Times New Roman" w:cs="Times New Roman"/>
          <w:color w:val="auto"/>
          <w:sz w:val="32"/>
          <w:szCs w:val="32"/>
        </w:rPr>
        <w:t>（一）、部门预算支出</w:t>
      </w:r>
    </w:p>
    <w:p>
      <w:pPr>
        <w:spacing w:line="360" w:lineRule="auto"/>
        <w:ind w:firstLine="640" w:firstLineChars="200"/>
        <w:rPr>
          <w:rFonts w:hint="default" w:ascii="Times New Roman" w:hAnsi="Times New Roman" w:cs="Times New Roman"/>
          <w:color w:val="auto"/>
          <w:sz w:val="32"/>
          <w:szCs w:val="32"/>
        </w:rPr>
      </w:pPr>
      <w:r>
        <w:rPr>
          <w:rFonts w:hint="default" w:ascii="Times New Roman" w:hAnsi="Times New Roman" w:cs="Times New Roman"/>
          <w:color w:val="auto"/>
          <w:sz w:val="32"/>
          <w:szCs w:val="32"/>
        </w:rPr>
        <w:t>2020年初部门预算基本支出为389.8万元。</w:t>
      </w:r>
    </w:p>
    <w:p>
      <w:pPr>
        <w:spacing w:line="360" w:lineRule="auto"/>
        <w:ind w:firstLine="640" w:firstLineChars="200"/>
        <w:rPr>
          <w:rFonts w:hint="default" w:ascii="Times New Roman" w:hAnsi="Times New Roman" w:cs="Times New Roman"/>
          <w:color w:val="auto"/>
          <w:sz w:val="32"/>
          <w:szCs w:val="32"/>
        </w:rPr>
      </w:pPr>
      <w:r>
        <w:rPr>
          <w:rFonts w:hint="default" w:ascii="Times New Roman" w:hAnsi="Times New Roman" w:cs="Times New Roman"/>
          <w:color w:val="auto"/>
          <w:sz w:val="32"/>
          <w:szCs w:val="32"/>
        </w:rPr>
        <w:t xml:space="preserve">（二）、三公经费预算情况  </w:t>
      </w:r>
    </w:p>
    <w:p>
      <w:pPr>
        <w:spacing w:line="360" w:lineRule="auto"/>
        <w:ind w:firstLine="640" w:firstLineChars="200"/>
        <w:rPr>
          <w:rFonts w:hint="default" w:ascii="Times New Roman" w:hAnsi="Times New Roman" w:cs="Times New Roman"/>
          <w:color w:val="auto"/>
          <w:sz w:val="32"/>
          <w:szCs w:val="32"/>
        </w:rPr>
      </w:pPr>
      <w:r>
        <w:rPr>
          <w:rFonts w:hint="default" w:ascii="Times New Roman" w:hAnsi="Times New Roman" w:cs="Times New Roman"/>
          <w:color w:val="auto"/>
          <w:sz w:val="32"/>
          <w:szCs w:val="32"/>
        </w:rPr>
        <w:t xml:space="preserve">2020年度部门预算三公经费预算总支出3.5万元，其中公务车运行维护费2万元，因公出国出境0万元，公务接待费1.5万元。  </w:t>
      </w:r>
    </w:p>
    <w:p>
      <w:pPr>
        <w:spacing w:line="360" w:lineRule="auto"/>
        <w:ind w:firstLine="640" w:firstLineChars="200"/>
        <w:rPr>
          <w:rFonts w:hint="default" w:ascii="Times New Roman" w:hAnsi="Times New Roman" w:cs="Times New Roman"/>
          <w:color w:val="auto"/>
          <w:sz w:val="32"/>
          <w:szCs w:val="32"/>
        </w:rPr>
      </w:pPr>
      <w:r>
        <w:rPr>
          <w:rFonts w:hint="default" w:ascii="Times New Roman" w:hAnsi="Times New Roman" w:cs="Times New Roman"/>
          <w:color w:val="auto"/>
          <w:sz w:val="32"/>
          <w:szCs w:val="32"/>
        </w:rPr>
        <w:t xml:space="preserve">（三）、项目支出预算管理情况  </w:t>
      </w:r>
    </w:p>
    <w:p>
      <w:pPr>
        <w:spacing w:line="360" w:lineRule="auto"/>
        <w:ind w:firstLine="640" w:firstLineChars="200"/>
        <w:rPr>
          <w:rFonts w:hint="default" w:ascii="Times New Roman" w:hAnsi="Times New Roman" w:cs="Times New Roman"/>
          <w:color w:val="auto"/>
          <w:sz w:val="32"/>
          <w:szCs w:val="32"/>
        </w:rPr>
      </w:pPr>
      <w:r>
        <w:rPr>
          <w:rFonts w:hint="default" w:ascii="Times New Roman" w:hAnsi="Times New Roman" w:cs="Times New Roman"/>
          <w:color w:val="auto"/>
          <w:sz w:val="32"/>
          <w:szCs w:val="32"/>
        </w:rPr>
        <w:t>2020年全年项目资金预算支出10.95万元。我台加强对财政预算安排的项目资金的管理，保证项目资金按计划、按进度实行。所有物资采购按照政府采购相关规定，属于政府采购范围物资一律通过政府采购平台，按照规定流程进行政府采购。</w:t>
      </w:r>
    </w:p>
    <w:p>
      <w:pPr>
        <w:numPr>
          <w:ilvl w:val="0"/>
          <w:numId w:val="4"/>
        </w:numPr>
        <w:spacing w:line="360" w:lineRule="auto"/>
        <w:ind w:firstLine="640" w:firstLineChars="200"/>
        <w:rPr>
          <w:rFonts w:hint="default" w:ascii="Times New Roman" w:hAnsi="Times New Roman" w:cs="Times New Roman"/>
          <w:color w:val="auto"/>
          <w:sz w:val="32"/>
          <w:szCs w:val="32"/>
        </w:rPr>
      </w:pPr>
      <w:r>
        <w:rPr>
          <w:rFonts w:hint="default" w:ascii="Times New Roman" w:hAnsi="Times New Roman" w:cs="Times New Roman"/>
          <w:color w:val="auto"/>
          <w:sz w:val="32"/>
          <w:szCs w:val="32"/>
        </w:rPr>
        <w:t>、部门预算执行情况 </w:t>
      </w:r>
    </w:p>
    <w:p>
      <w:pPr>
        <w:spacing w:line="360" w:lineRule="auto"/>
        <w:ind w:firstLine="960" w:firstLineChars="300"/>
        <w:rPr>
          <w:rFonts w:hint="default" w:ascii="Times New Roman" w:hAnsi="Times New Roman" w:cs="Times New Roman"/>
          <w:color w:val="auto"/>
          <w:sz w:val="32"/>
          <w:szCs w:val="32"/>
        </w:rPr>
      </w:pPr>
      <w:r>
        <w:rPr>
          <w:rFonts w:hint="default" w:ascii="Times New Roman" w:hAnsi="Times New Roman" w:cs="Times New Roman"/>
          <w:color w:val="auto"/>
          <w:sz w:val="32"/>
          <w:szCs w:val="32"/>
        </w:rPr>
        <w:t>1、工资、津补贴等其他经费已按政策发放到位。2、一般商品和服务支出、对个人和家庭的补助支出按年初预算执行。3、预算管理项目支出，购置设备、铁塔新建维修、设备更新等工程项目，我台都严格执行项目招投标、政府采购、工程监理、竣工验收等各项规定。</w:t>
      </w:r>
    </w:p>
    <w:p>
      <w:pPr>
        <w:spacing w:line="360" w:lineRule="auto"/>
        <w:ind w:firstLine="960" w:firstLineChars="300"/>
        <w:rPr>
          <w:rFonts w:hint="default" w:ascii="Times New Roman" w:hAnsi="Times New Roman" w:cs="Times New Roman"/>
          <w:color w:val="auto"/>
          <w:sz w:val="32"/>
          <w:szCs w:val="32"/>
        </w:rPr>
      </w:pPr>
      <w:r>
        <w:rPr>
          <w:rFonts w:hint="default" w:ascii="Times New Roman" w:hAnsi="Times New Roman" w:cs="Times New Roman"/>
          <w:color w:val="auto"/>
          <w:sz w:val="32"/>
          <w:szCs w:val="32"/>
        </w:rPr>
        <w:t>部门实际收入：2020年度收入决算数425.11万元，其中，公共预算财政拨款收入425.11万元，2020年度可用金额合计425.11万元。</w:t>
      </w:r>
    </w:p>
    <w:p>
      <w:pPr>
        <w:spacing w:line="360" w:lineRule="auto"/>
        <w:ind w:firstLine="960" w:firstLineChars="300"/>
        <w:rPr>
          <w:rFonts w:hint="default" w:ascii="Times New Roman" w:hAnsi="Times New Roman" w:cs="Times New Roman"/>
          <w:color w:val="auto"/>
          <w:sz w:val="32"/>
          <w:szCs w:val="32"/>
        </w:rPr>
      </w:pPr>
      <w:r>
        <w:rPr>
          <w:rFonts w:hint="default" w:ascii="Times New Roman" w:hAnsi="Times New Roman" w:cs="Times New Roman"/>
          <w:color w:val="auto"/>
          <w:sz w:val="32"/>
          <w:szCs w:val="32"/>
        </w:rPr>
        <w:t>部门实际支出： 2020年度支出决算数415.76万元。基本支出404.81万元。其中：人员经费344.84万元（工资福利支出283.58万元，对个人和家庭的补助支出61.26万元），商品和服务支出等公用经费59.96万元。项目支出10.95万元，为运行维护费。</w:t>
      </w:r>
    </w:p>
    <w:p>
      <w:pPr>
        <w:spacing w:line="360" w:lineRule="auto"/>
        <w:ind w:firstLine="960" w:firstLineChars="300"/>
        <w:rPr>
          <w:rFonts w:hint="default" w:ascii="Times New Roman" w:hAnsi="Times New Roman" w:cs="Times New Roman"/>
          <w:color w:val="auto"/>
          <w:sz w:val="32"/>
          <w:szCs w:val="32"/>
        </w:rPr>
      </w:pPr>
      <w:r>
        <w:rPr>
          <w:rFonts w:hint="default" w:ascii="Times New Roman" w:hAnsi="Times New Roman" w:cs="Times New Roman"/>
          <w:color w:val="auto"/>
          <w:sz w:val="32"/>
          <w:szCs w:val="32"/>
        </w:rPr>
        <w:t>三公经费实际支出情况：2020年度部门预算三公经费实际总支出2.59万元，其中公务车运行维护费2万元，因公出国出境0万元，公务接待0.59万元。</w:t>
      </w:r>
    </w:p>
    <w:p>
      <w:pPr>
        <w:spacing w:line="360" w:lineRule="auto"/>
        <w:ind w:firstLine="960" w:firstLineChars="300"/>
        <w:rPr>
          <w:rFonts w:hint="default" w:ascii="Times New Roman" w:hAnsi="Times New Roman" w:cs="Times New Roman"/>
          <w:color w:val="auto"/>
          <w:sz w:val="32"/>
          <w:szCs w:val="32"/>
        </w:rPr>
      </w:pPr>
      <w:r>
        <w:rPr>
          <w:rFonts w:hint="default" w:ascii="Times New Roman" w:hAnsi="Times New Roman" w:cs="Times New Roman"/>
          <w:color w:val="auto"/>
          <w:sz w:val="32"/>
          <w:szCs w:val="32"/>
        </w:rPr>
        <w:t xml:space="preserve">项目经费实际支出情况 ：2020年度预算项目实际总支出10.95万元，是机房运行维护费和电费。 </w:t>
      </w:r>
    </w:p>
    <w:p>
      <w:pPr>
        <w:spacing w:line="360" w:lineRule="auto"/>
        <w:ind w:firstLine="640" w:firstLineChars="200"/>
        <w:rPr>
          <w:rFonts w:hint="default" w:ascii="Times New Roman" w:hAnsi="Times New Roman" w:cs="Times New Roman"/>
          <w:color w:val="auto"/>
          <w:sz w:val="32"/>
          <w:szCs w:val="32"/>
        </w:rPr>
      </w:pPr>
      <w:r>
        <w:rPr>
          <w:rFonts w:hint="default" w:ascii="Times New Roman" w:hAnsi="Times New Roman" w:cs="Times New Roman"/>
          <w:color w:val="auto"/>
          <w:sz w:val="32"/>
          <w:szCs w:val="32"/>
        </w:rPr>
        <w:t>部门年度预算执行情况对比分析：2020年部门整体实际支出415.76万元，2019年部门整体实际支出437.43万元，2020年较2019年整体支出减少了21.67万元，其中基本支出减少12.41万元，主要因为2020年在职转退休1人，2020年较2019年商品和服务支出减少18.67万元。主要因为2020年减少公务用车2台，按照厉行节约的原则节约公用经费开支。2020年度“三公”经费总支出2.59万元，预算数为3.5万元，2019年度“三公”经费总支出8.2万元。2020年度“三公”经费比2019年减少5.62万元，减少率68%。 减少变化主要原因一是按省局规定要求，严格控制接待范围，接待标准，厉行节约、缩减开支。二是减少公务用车2台。2020年度项目经费总支出10.95万元，2019年度项目经费总支出20.21万元，2020年项目经费比2019年减少9.26万元，减少变化主要是中央追加的6.2万元经费放在基本支出。</w:t>
      </w:r>
    </w:p>
    <w:p>
      <w:pPr>
        <w:spacing w:line="360" w:lineRule="auto"/>
        <w:jc w:val="left"/>
        <w:rPr>
          <w:rFonts w:hint="default" w:ascii="Times New Roman" w:hAnsi="Times New Roman" w:cs="Times New Roman"/>
          <w:b/>
          <w:bCs/>
          <w:color w:val="auto"/>
          <w:sz w:val="32"/>
          <w:szCs w:val="32"/>
        </w:rPr>
      </w:pPr>
      <w:r>
        <w:rPr>
          <w:rFonts w:hint="default" w:ascii="Times New Roman" w:hAnsi="Times New Roman" w:cs="Times New Roman"/>
          <w:b/>
          <w:bCs/>
          <w:color w:val="auto"/>
          <w:sz w:val="32"/>
          <w:szCs w:val="32"/>
        </w:rPr>
        <w:t>三、政府性基金预算支出情况</w:t>
      </w:r>
    </w:p>
    <w:p>
      <w:pPr>
        <w:spacing w:line="360" w:lineRule="auto"/>
        <w:ind w:firstLine="640" w:firstLineChars="200"/>
        <w:jc w:val="left"/>
        <w:rPr>
          <w:rFonts w:hint="default" w:ascii="Times New Roman" w:hAnsi="Times New Roman" w:cs="Times New Roman"/>
          <w:color w:val="auto"/>
          <w:sz w:val="32"/>
          <w:szCs w:val="32"/>
        </w:rPr>
      </w:pPr>
      <w:r>
        <w:rPr>
          <w:rFonts w:hint="default" w:ascii="Times New Roman" w:hAnsi="Times New Roman" w:cs="Times New Roman"/>
          <w:color w:val="auto"/>
          <w:sz w:val="32"/>
          <w:szCs w:val="32"/>
        </w:rPr>
        <w:t>我台无政府性基金预算支出。</w:t>
      </w:r>
    </w:p>
    <w:p>
      <w:pPr>
        <w:spacing w:line="360" w:lineRule="auto"/>
        <w:jc w:val="left"/>
        <w:rPr>
          <w:rFonts w:hint="default" w:ascii="Times New Roman" w:hAnsi="Times New Roman" w:cs="Times New Roman"/>
          <w:b/>
          <w:bCs/>
          <w:color w:val="auto"/>
          <w:sz w:val="32"/>
          <w:szCs w:val="32"/>
        </w:rPr>
      </w:pPr>
      <w:r>
        <w:rPr>
          <w:rFonts w:hint="default" w:ascii="Times New Roman" w:hAnsi="Times New Roman" w:cs="Times New Roman"/>
          <w:b/>
          <w:bCs/>
          <w:color w:val="auto"/>
          <w:sz w:val="32"/>
          <w:szCs w:val="32"/>
        </w:rPr>
        <w:t>四、国有资本经营预算支出情况</w:t>
      </w:r>
    </w:p>
    <w:p>
      <w:pPr>
        <w:spacing w:line="360" w:lineRule="auto"/>
        <w:ind w:firstLine="640" w:firstLineChars="200"/>
        <w:jc w:val="left"/>
        <w:rPr>
          <w:rFonts w:hint="default" w:ascii="Times New Roman" w:hAnsi="Times New Roman" w:cs="Times New Roman"/>
          <w:color w:val="auto"/>
          <w:sz w:val="32"/>
          <w:szCs w:val="32"/>
        </w:rPr>
      </w:pPr>
      <w:r>
        <w:rPr>
          <w:rFonts w:hint="default" w:ascii="Times New Roman" w:hAnsi="Times New Roman" w:cs="Times New Roman"/>
          <w:color w:val="auto"/>
          <w:sz w:val="32"/>
          <w:szCs w:val="32"/>
        </w:rPr>
        <w:t>我台无国有资本经营预算支出。</w:t>
      </w:r>
    </w:p>
    <w:p>
      <w:pPr>
        <w:spacing w:line="360" w:lineRule="auto"/>
        <w:jc w:val="left"/>
        <w:rPr>
          <w:rFonts w:hint="default" w:ascii="Times New Roman" w:hAnsi="Times New Roman" w:cs="Times New Roman"/>
          <w:b/>
          <w:bCs/>
          <w:color w:val="auto"/>
          <w:sz w:val="32"/>
          <w:szCs w:val="32"/>
        </w:rPr>
      </w:pPr>
      <w:r>
        <w:rPr>
          <w:rFonts w:hint="default" w:ascii="Times New Roman" w:hAnsi="Times New Roman" w:cs="Times New Roman"/>
          <w:b/>
          <w:bCs/>
          <w:color w:val="auto"/>
          <w:sz w:val="32"/>
          <w:szCs w:val="32"/>
        </w:rPr>
        <w:t>五、社会保险基金预算支出情况</w:t>
      </w:r>
    </w:p>
    <w:p>
      <w:pPr>
        <w:spacing w:line="360" w:lineRule="auto"/>
        <w:ind w:firstLine="640" w:firstLineChars="200"/>
        <w:jc w:val="left"/>
        <w:rPr>
          <w:rFonts w:hint="default" w:ascii="Times New Roman" w:hAnsi="Times New Roman" w:cs="Times New Roman"/>
          <w:color w:val="auto"/>
          <w:sz w:val="32"/>
          <w:szCs w:val="32"/>
        </w:rPr>
      </w:pPr>
      <w:r>
        <w:rPr>
          <w:rFonts w:hint="default" w:ascii="Times New Roman" w:hAnsi="Times New Roman" w:cs="Times New Roman"/>
          <w:color w:val="auto"/>
          <w:sz w:val="32"/>
          <w:szCs w:val="32"/>
        </w:rPr>
        <w:t>我台无社会保险基金预算支出。</w:t>
      </w:r>
    </w:p>
    <w:p>
      <w:pPr>
        <w:numPr>
          <w:ilvl w:val="0"/>
          <w:numId w:val="5"/>
        </w:numPr>
        <w:spacing w:line="360" w:lineRule="auto"/>
        <w:jc w:val="left"/>
        <w:rPr>
          <w:rFonts w:hint="default" w:ascii="Times New Roman" w:hAnsi="Times New Roman" w:cs="Times New Roman"/>
          <w:b/>
          <w:bCs/>
          <w:color w:val="auto"/>
          <w:sz w:val="32"/>
          <w:szCs w:val="32"/>
        </w:rPr>
      </w:pPr>
      <w:r>
        <w:rPr>
          <w:rFonts w:hint="default" w:ascii="Times New Roman" w:hAnsi="Times New Roman" w:cs="Times New Roman"/>
          <w:b/>
          <w:bCs/>
          <w:color w:val="auto"/>
          <w:sz w:val="32"/>
          <w:szCs w:val="32"/>
        </w:rPr>
        <w:t xml:space="preserve">部门整体支出绩效情况 </w:t>
      </w:r>
    </w:p>
    <w:p>
      <w:pPr>
        <w:spacing w:line="360" w:lineRule="auto"/>
        <w:ind w:firstLine="640" w:firstLineChars="200"/>
        <w:jc w:val="left"/>
        <w:rPr>
          <w:rFonts w:hint="default" w:ascii="Times New Roman" w:hAnsi="Times New Roman" w:cs="Times New Roman"/>
          <w:color w:val="auto"/>
          <w:sz w:val="32"/>
          <w:szCs w:val="32"/>
        </w:rPr>
      </w:pPr>
      <w:r>
        <w:rPr>
          <w:rFonts w:hint="default" w:ascii="Times New Roman" w:hAnsi="Times New Roman" w:cs="Times New Roman"/>
          <w:color w:val="auto"/>
          <w:sz w:val="32"/>
          <w:szCs w:val="32"/>
        </w:rPr>
        <w:t>为了切实做好资金使用和规范性，加强了会计核算与监督，严格财务审批制度，节约费用开支，防止国有资产流失，提高资金使用效益，根据《中华人民共和国会计法》和有关财务制度规定，制定了台财务制度。同时确定项目实施责任人，项目单位的负责人为项目实施负责人，监督责任人为小组各成员单位负责人，把各项任务落实到具体。同时实行合同约束机制，项目单位与项目工程单位签定项目合同，按合同规定严格实施、验收和支付费用。办公用品采购、费用的结算、固定资产的管理等方面有严格的规定。预决算以有绩效都按时信息公开，做到了公开规范，内容全面、细致。在省广播电视局、中波台管理中心的正确领导下，以守好宣传阵地，确保安全播出为核心。从党支部“五化”建设、业务发展、新冠肺炎疫情防控、文明创建、平安创建、工会工作等方面提高了干部职工的政治站位，树立风清气正的工作氛围、激发了干事创业热情。为岳阳中波转播台高质量发展做出不懈努力，圆满完成各项工作任务  始终把安全播出工作放在首位，实现全年“零停播”。安全播出工作是底线、是红线、是高压线，是我台的中心工作。2020年，为确保安全播出万无一失，首先是要求每天必须实行“满功率、满时间、满调幅度”播出；其次是利用每周二下午检修，认真检查播出发射机、天调网络、供配电系统等重要部位，把一切影响安全播出的不利因素逐一立即解决；再次是以局系统开展安全大检查为契机，先是组织了安全播出自查工作，着重检查发射机房、调配室、柴油发电机房、配电房等院落内重点区域，然后根据检查组检查出的问题清单，及时完善各项工作方案，落实反恐、消防等安全演练；最后是严格落实重保期间值班，台领导必须身居一线值班，督导工作。通过狠抓安全播出制度的落实，顺利完成了全年安全播出任务。</w:t>
      </w:r>
    </w:p>
    <w:p>
      <w:pPr>
        <w:spacing w:line="360" w:lineRule="auto"/>
        <w:ind w:firstLine="645"/>
        <w:rPr>
          <w:rFonts w:hint="default" w:ascii="Times New Roman" w:hAnsi="Times New Roman" w:cs="Times New Roman"/>
          <w:color w:val="auto"/>
          <w:sz w:val="32"/>
          <w:szCs w:val="32"/>
        </w:rPr>
      </w:pPr>
      <w:r>
        <w:rPr>
          <w:rFonts w:hint="default" w:ascii="Times New Roman" w:hAnsi="Times New Roman" w:cs="Times New Roman"/>
          <w:color w:val="auto"/>
          <w:sz w:val="32"/>
          <w:szCs w:val="32"/>
        </w:rPr>
        <w:t>去年年底完成两座铁塔的建成后，今年，我们每季度对播出覆盖区域进行了收测，结果显示：湘北部分的收测效果得到了明显改善。</w:t>
      </w:r>
    </w:p>
    <w:p>
      <w:pPr>
        <w:spacing w:line="360" w:lineRule="auto"/>
        <w:ind w:firstLine="640" w:firstLineChars="200"/>
        <w:rPr>
          <w:rFonts w:hint="default" w:ascii="Times New Roman" w:hAnsi="Times New Roman" w:cs="Times New Roman"/>
          <w:color w:val="auto"/>
          <w:sz w:val="32"/>
          <w:szCs w:val="32"/>
        </w:rPr>
      </w:pPr>
      <w:r>
        <w:rPr>
          <w:rFonts w:hint="default" w:ascii="Times New Roman" w:hAnsi="Times New Roman" w:cs="Times New Roman"/>
          <w:color w:val="auto"/>
          <w:sz w:val="32"/>
          <w:szCs w:val="32"/>
        </w:rPr>
        <w:t>部门绩效目标 </w:t>
      </w:r>
    </w:p>
    <w:p>
      <w:pPr>
        <w:tabs>
          <w:tab w:val="left" w:pos="7560"/>
        </w:tabs>
        <w:spacing w:line="360" w:lineRule="auto"/>
        <w:ind w:firstLine="640" w:firstLineChars="200"/>
        <w:rPr>
          <w:rFonts w:hint="default" w:ascii="Times New Roman" w:hAnsi="Times New Roman" w:cs="Times New Roman"/>
          <w:color w:val="auto"/>
          <w:sz w:val="32"/>
          <w:szCs w:val="32"/>
        </w:rPr>
      </w:pPr>
      <w:r>
        <w:rPr>
          <w:rFonts w:hint="default" w:ascii="Times New Roman" w:hAnsi="Times New Roman" w:cs="Times New Roman"/>
          <w:color w:val="auto"/>
          <w:sz w:val="32"/>
          <w:szCs w:val="32"/>
        </w:rPr>
        <w:t>目标1：</w:t>
      </w:r>
      <w:r>
        <w:rPr>
          <w:rFonts w:hint="default" w:ascii="Times New Roman" w:hAnsi="Times New Roman" w:cs="Times New Roman"/>
          <w:bCs/>
          <w:color w:val="auto"/>
          <w:sz w:val="32"/>
          <w:szCs w:val="32"/>
        </w:rPr>
        <w:t>抓牢党建创“文明”、“平安”优秀单位，增强队伍“活力”。</w:t>
      </w:r>
      <w:r>
        <w:rPr>
          <w:rFonts w:hint="default" w:ascii="Times New Roman" w:hAnsi="Times New Roman" w:cs="Times New Roman"/>
          <w:color w:val="auto"/>
          <w:sz w:val="32"/>
          <w:szCs w:val="32"/>
        </w:rPr>
        <w:t>继续加强党支部建设工作，拟努力创新不同形式的学习方式，充分发挥党员干部的带头作用，严格执行支部标准化建设。深入细则开展好各种主题教育和专项教育活动。严格按照上级的部署一一实施，确保学习不间断，不走过场。</w:t>
      </w:r>
    </w:p>
    <w:p>
      <w:pPr>
        <w:spacing w:line="360" w:lineRule="auto"/>
        <w:ind w:firstLine="640" w:firstLineChars="200"/>
        <w:rPr>
          <w:rFonts w:hint="default" w:ascii="Times New Roman" w:hAnsi="Times New Roman" w:cs="Times New Roman"/>
          <w:color w:val="auto"/>
          <w:sz w:val="32"/>
          <w:szCs w:val="32"/>
        </w:rPr>
      </w:pPr>
      <w:r>
        <w:rPr>
          <w:rFonts w:hint="default" w:ascii="Times New Roman" w:hAnsi="Times New Roman" w:cs="Times New Roman"/>
          <w:color w:val="auto"/>
          <w:sz w:val="32"/>
          <w:szCs w:val="32"/>
        </w:rPr>
        <w:t>目标2：</w:t>
      </w:r>
      <w:r>
        <w:rPr>
          <w:rFonts w:hint="default" w:ascii="Times New Roman" w:hAnsi="Times New Roman" w:cs="Times New Roman"/>
          <w:bCs/>
          <w:color w:val="auto"/>
          <w:sz w:val="32"/>
          <w:szCs w:val="32"/>
        </w:rPr>
        <w:t>完善制度抓培训，增强各项工作“战斗力”</w:t>
      </w:r>
      <w:r>
        <w:rPr>
          <w:rFonts w:hint="default" w:ascii="Times New Roman" w:hAnsi="Times New Roman" w:cs="Times New Roman"/>
          <w:b/>
          <w:color w:val="auto"/>
          <w:sz w:val="32"/>
          <w:szCs w:val="32"/>
        </w:rPr>
        <w:t>。</w:t>
      </w:r>
      <w:r>
        <w:rPr>
          <w:rFonts w:hint="default" w:ascii="Times New Roman" w:hAnsi="Times New Roman" w:cs="Times New Roman"/>
          <w:color w:val="auto"/>
          <w:sz w:val="32"/>
          <w:szCs w:val="32"/>
        </w:rPr>
        <w:t>根据中波台管理中心党委的要求，结合“文明”、“平安”创建、党支部标准化建设及业务工作等工作实际对原来的规章制度要进行修订，没有的要重新制定。如安全播出管理、安全保卫制度、财务管理制度、绩效考核制度等等。用制度管人管事，用制度立规立章，达到增强内部战斗力的目的。2021年不仅内部组织培训，更要向外学习培训。不仅局限于技术培训，行政工作各工种也要加大培训。</w:t>
      </w:r>
    </w:p>
    <w:p>
      <w:pPr>
        <w:spacing w:line="360" w:lineRule="auto"/>
        <w:ind w:firstLine="640" w:firstLineChars="200"/>
        <w:rPr>
          <w:rFonts w:hint="default" w:ascii="Times New Roman" w:hAnsi="Times New Roman" w:cs="Times New Roman"/>
          <w:color w:val="auto"/>
          <w:sz w:val="32"/>
          <w:szCs w:val="32"/>
        </w:rPr>
      </w:pPr>
      <w:r>
        <w:rPr>
          <w:rFonts w:hint="default" w:ascii="Times New Roman" w:hAnsi="Times New Roman" w:cs="Times New Roman"/>
          <w:color w:val="auto"/>
          <w:sz w:val="32"/>
          <w:szCs w:val="32"/>
        </w:rPr>
        <w:t>目标3：</w:t>
      </w:r>
      <w:r>
        <w:rPr>
          <w:rFonts w:hint="default" w:ascii="Times New Roman" w:hAnsi="Times New Roman" w:cs="Times New Roman"/>
          <w:bCs/>
          <w:color w:val="auto"/>
          <w:sz w:val="32"/>
          <w:szCs w:val="32"/>
        </w:rPr>
        <w:t>抓队伍建设增强“凝聚力”</w:t>
      </w:r>
      <w:r>
        <w:rPr>
          <w:rFonts w:hint="default" w:ascii="Times New Roman" w:hAnsi="Times New Roman" w:cs="Times New Roman"/>
          <w:b/>
          <w:color w:val="auto"/>
          <w:sz w:val="32"/>
          <w:szCs w:val="32"/>
        </w:rPr>
        <w:t>。</w:t>
      </w:r>
      <w:r>
        <w:rPr>
          <w:rFonts w:hint="default" w:ascii="Times New Roman" w:hAnsi="Times New Roman" w:cs="Times New Roman"/>
          <w:color w:val="auto"/>
          <w:sz w:val="32"/>
          <w:szCs w:val="32"/>
        </w:rPr>
        <w:t>根据局属中波台管理中心党委的要求，结合我台实际推出系列职工活动等方式。把干部职工队伍带起来，让广大干部职工工作作有劲，心里有目标，脸上有光彩，打造出一支高效、专业、有凝聚力的队伍。</w:t>
      </w:r>
    </w:p>
    <w:p>
      <w:pPr>
        <w:spacing w:line="360" w:lineRule="auto"/>
        <w:ind w:firstLine="640" w:firstLineChars="200"/>
        <w:rPr>
          <w:rFonts w:hint="default" w:ascii="Times New Roman" w:hAnsi="Times New Roman" w:cs="Times New Roman"/>
          <w:color w:val="auto"/>
          <w:sz w:val="32"/>
          <w:szCs w:val="32"/>
        </w:rPr>
      </w:pPr>
      <w:r>
        <w:rPr>
          <w:rFonts w:hint="default" w:ascii="Times New Roman" w:hAnsi="Times New Roman" w:cs="Times New Roman"/>
          <w:color w:val="auto"/>
          <w:sz w:val="32"/>
          <w:szCs w:val="32"/>
        </w:rPr>
        <w:t>目标4：</w:t>
      </w:r>
      <w:r>
        <w:rPr>
          <w:rFonts w:hint="default" w:ascii="Times New Roman" w:hAnsi="Times New Roman" w:cs="Times New Roman"/>
          <w:bCs/>
          <w:color w:val="auto"/>
          <w:sz w:val="32"/>
          <w:szCs w:val="32"/>
        </w:rPr>
        <w:t>确保安全播出，全面加强各项工作贯彻落实力度</w:t>
      </w:r>
      <w:r>
        <w:rPr>
          <w:rFonts w:hint="default" w:ascii="Times New Roman" w:hAnsi="Times New Roman" w:cs="Times New Roman"/>
          <w:b/>
          <w:color w:val="auto"/>
          <w:sz w:val="32"/>
          <w:szCs w:val="32"/>
        </w:rPr>
        <w:t>。</w:t>
      </w:r>
      <w:r>
        <w:rPr>
          <w:rFonts w:hint="default" w:ascii="Times New Roman" w:hAnsi="Times New Roman" w:cs="Times New Roman"/>
          <w:color w:val="auto"/>
          <w:sz w:val="32"/>
          <w:szCs w:val="32"/>
        </w:rPr>
        <w:t>认真总结我台在2020年各项工作开展中的经验及教训，拟在2021年有针对性的查漏补缺，加强对我台的安全播出管理，确保安全播出工作万无一失。</w:t>
      </w:r>
    </w:p>
    <w:p>
      <w:pPr>
        <w:numPr>
          <w:ilvl w:val="0"/>
          <w:numId w:val="6"/>
        </w:numPr>
        <w:spacing w:line="360" w:lineRule="auto"/>
        <w:ind w:left="780"/>
        <w:rPr>
          <w:rFonts w:hint="default" w:ascii="Times New Roman" w:hAnsi="Times New Roman" w:cs="Times New Roman"/>
          <w:b/>
          <w:bCs/>
          <w:color w:val="auto"/>
          <w:sz w:val="32"/>
          <w:szCs w:val="32"/>
        </w:rPr>
      </w:pPr>
      <w:r>
        <w:rPr>
          <w:rFonts w:hint="default" w:ascii="Times New Roman" w:hAnsi="Times New Roman" w:cs="Times New Roman"/>
          <w:b/>
          <w:bCs/>
          <w:color w:val="auto"/>
          <w:sz w:val="32"/>
          <w:szCs w:val="32"/>
        </w:rPr>
        <w:t>存在的问题及原因分析</w:t>
      </w:r>
    </w:p>
    <w:p>
      <w:pPr>
        <w:spacing w:line="360" w:lineRule="auto"/>
        <w:ind w:firstLine="640" w:firstLineChars="200"/>
        <w:rPr>
          <w:rFonts w:hint="default" w:ascii="Times New Roman" w:hAnsi="Times New Roman" w:cs="Times New Roman"/>
          <w:color w:val="auto"/>
          <w:sz w:val="32"/>
          <w:szCs w:val="32"/>
        </w:rPr>
      </w:pPr>
      <w:r>
        <w:rPr>
          <w:rFonts w:hint="default" w:ascii="Times New Roman" w:hAnsi="Times New Roman" w:cs="Times New Roman"/>
          <w:color w:val="auto"/>
          <w:sz w:val="32"/>
          <w:szCs w:val="32"/>
        </w:rPr>
        <w:t xml:space="preserve">一是制度建设有待进一步完善； </w:t>
      </w:r>
    </w:p>
    <w:p>
      <w:pPr>
        <w:spacing w:line="360" w:lineRule="auto"/>
        <w:ind w:firstLine="640" w:firstLineChars="200"/>
        <w:rPr>
          <w:rFonts w:hint="default" w:ascii="Times New Roman" w:hAnsi="Times New Roman" w:cs="Times New Roman"/>
          <w:color w:val="auto"/>
          <w:sz w:val="32"/>
          <w:szCs w:val="32"/>
        </w:rPr>
      </w:pPr>
      <w:r>
        <w:rPr>
          <w:rFonts w:hint="default" w:ascii="Times New Roman" w:hAnsi="Times New Roman" w:cs="Times New Roman"/>
          <w:color w:val="auto"/>
          <w:sz w:val="32"/>
          <w:szCs w:val="32"/>
        </w:rPr>
        <w:t xml:space="preserve">二是部门整体支出相比专项支出而言，社会效益较好，经济效益不明显。业务工作分项需更加清晰，不能很好的对比支出与成果，投入与产出效果，进而很难有针对性的发现问题，分析问题，提出解决方案；  </w:t>
      </w:r>
    </w:p>
    <w:p>
      <w:pPr>
        <w:spacing w:line="360" w:lineRule="auto"/>
        <w:ind w:firstLine="640" w:firstLineChars="200"/>
        <w:rPr>
          <w:rFonts w:hint="default" w:ascii="Times New Roman" w:hAnsi="Times New Roman" w:cs="Times New Roman"/>
          <w:color w:val="auto"/>
          <w:sz w:val="32"/>
          <w:szCs w:val="32"/>
        </w:rPr>
      </w:pPr>
      <w:r>
        <w:rPr>
          <w:rFonts w:hint="default" w:ascii="Times New Roman" w:hAnsi="Times New Roman" w:cs="Times New Roman"/>
          <w:color w:val="auto"/>
          <w:sz w:val="32"/>
          <w:szCs w:val="32"/>
        </w:rPr>
        <w:t>三是预算编制工作有待细化。财务管理方面，会计核算还不够细致，对于有些能够细分的工作，未能详细分类核算，绩效评价基础数据不够精准。</w:t>
      </w:r>
    </w:p>
    <w:p>
      <w:pPr>
        <w:numPr>
          <w:ilvl w:val="0"/>
          <w:numId w:val="6"/>
        </w:numPr>
        <w:spacing w:line="360" w:lineRule="auto"/>
        <w:ind w:left="780"/>
        <w:rPr>
          <w:rFonts w:hint="default" w:ascii="Times New Roman" w:hAnsi="Times New Roman" w:cs="Times New Roman"/>
          <w:b/>
          <w:bCs/>
          <w:color w:val="auto"/>
          <w:sz w:val="32"/>
          <w:szCs w:val="32"/>
        </w:rPr>
      </w:pPr>
      <w:r>
        <w:rPr>
          <w:rFonts w:hint="default" w:ascii="Times New Roman" w:hAnsi="Times New Roman" w:cs="Times New Roman"/>
          <w:b/>
          <w:bCs/>
          <w:color w:val="auto"/>
          <w:sz w:val="32"/>
          <w:szCs w:val="32"/>
        </w:rPr>
        <w:t>下一步改进措施</w:t>
      </w:r>
    </w:p>
    <w:p>
      <w:pPr>
        <w:spacing w:line="360" w:lineRule="auto"/>
        <w:ind w:firstLine="640" w:firstLineChars="200"/>
        <w:rPr>
          <w:rFonts w:hint="default" w:ascii="Times New Roman" w:hAnsi="Times New Roman" w:cs="Times New Roman"/>
          <w:color w:val="auto"/>
          <w:sz w:val="32"/>
          <w:szCs w:val="32"/>
        </w:rPr>
      </w:pPr>
      <w:r>
        <w:rPr>
          <w:rFonts w:hint="default" w:ascii="Times New Roman" w:hAnsi="Times New Roman" w:cs="Times New Roman"/>
          <w:color w:val="auto"/>
          <w:kern w:val="0"/>
          <w:sz w:val="32"/>
          <w:szCs w:val="32"/>
          <w:shd w:val="clear" w:color="auto" w:fill="FFFFFF"/>
        </w:rPr>
        <w:t>一是</w:t>
      </w:r>
      <w:r>
        <w:rPr>
          <w:rFonts w:hint="default" w:ascii="Times New Roman" w:hAnsi="Times New Roman" w:cs="Times New Roman"/>
          <w:color w:val="auto"/>
          <w:sz w:val="32"/>
          <w:szCs w:val="32"/>
        </w:rPr>
        <w:t>加强学习和培训。年初制定学习和培训计划；</w:t>
      </w:r>
    </w:p>
    <w:p>
      <w:pPr>
        <w:spacing w:line="360" w:lineRule="auto"/>
        <w:ind w:firstLine="640" w:firstLineChars="200"/>
        <w:rPr>
          <w:rFonts w:hint="default" w:ascii="Times New Roman" w:hAnsi="Times New Roman" w:cs="Times New Roman"/>
          <w:color w:val="auto"/>
          <w:sz w:val="32"/>
          <w:szCs w:val="32"/>
        </w:rPr>
      </w:pPr>
      <w:r>
        <w:rPr>
          <w:rFonts w:hint="default" w:ascii="Times New Roman" w:hAnsi="Times New Roman" w:cs="Times New Roman"/>
          <w:color w:val="auto"/>
          <w:sz w:val="32"/>
          <w:szCs w:val="32"/>
        </w:rPr>
        <w:t xml:space="preserve">二是对于能细分、归总的业务工作，效仿专项支出进行管理，以便更好的进行绩效评价，发现不足，提出改进；  </w:t>
      </w:r>
    </w:p>
    <w:p>
      <w:pPr>
        <w:spacing w:line="360" w:lineRule="auto"/>
        <w:ind w:firstLine="640" w:firstLineChars="200"/>
        <w:rPr>
          <w:rFonts w:hint="default" w:ascii="Times New Roman" w:hAnsi="Times New Roman" w:cs="Times New Roman"/>
          <w:color w:val="auto"/>
          <w:sz w:val="32"/>
          <w:szCs w:val="32"/>
        </w:rPr>
      </w:pPr>
      <w:r>
        <w:rPr>
          <w:rFonts w:hint="default" w:ascii="Times New Roman" w:hAnsi="Times New Roman" w:cs="Times New Roman"/>
          <w:color w:val="auto"/>
          <w:sz w:val="32"/>
          <w:szCs w:val="32"/>
        </w:rPr>
        <w:t>三是加强预算的约束力，细化预算的编制工作。财务上会计核算要更加详细，为本单位各项工作的开展、总结、评估提供有效数据资料支撑，为各项业务工作更好的开展提供帮助。</w:t>
      </w:r>
    </w:p>
    <w:p>
      <w:pPr>
        <w:spacing w:line="360" w:lineRule="auto"/>
        <w:ind w:firstLine="964" w:firstLineChars="300"/>
        <w:rPr>
          <w:rFonts w:hint="default" w:ascii="Times New Roman" w:hAnsi="Times New Roman" w:cs="Times New Roman"/>
          <w:b/>
          <w:bCs/>
          <w:color w:val="auto"/>
          <w:sz w:val="32"/>
          <w:szCs w:val="32"/>
        </w:rPr>
      </w:pPr>
      <w:r>
        <w:rPr>
          <w:rFonts w:hint="default" w:ascii="Times New Roman" w:hAnsi="Times New Roman" w:cs="Times New Roman"/>
          <w:b/>
          <w:bCs/>
          <w:color w:val="auto"/>
          <w:sz w:val="32"/>
          <w:szCs w:val="32"/>
        </w:rPr>
        <w:t>九、绩效自评结果拟应用和公开情况</w:t>
      </w:r>
    </w:p>
    <w:p>
      <w:pPr>
        <w:spacing w:line="360" w:lineRule="auto"/>
        <w:ind w:firstLine="640" w:firstLineChars="200"/>
        <w:rPr>
          <w:rFonts w:hint="default" w:ascii="Times New Roman" w:hAnsi="Times New Roman" w:cs="Times New Roman"/>
          <w:color w:val="auto"/>
          <w:sz w:val="32"/>
          <w:szCs w:val="32"/>
        </w:rPr>
      </w:pPr>
      <w:r>
        <w:rPr>
          <w:rFonts w:hint="default" w:ascii="Times New Roman" w:hAnsi="Times New Roman" w:cs="Times New Roman"/>
          <w:color w:val="auto"/>
          <w:sz w:val="32"/>
          <w:szCs w:val="32"/>
        </w:rPr>
        <w:t>结合我台实际情况，填写基础数据表，根据《部门整体支出绩效评价指标体系》评分，综合得分88分，部门整体支出绩效为“良”。绩效自评结果都按时信息公开，做到了公开规范，内容全面、细致。</w:t>
      </w:r>
    </w:p>
    <w:p>
      <w:pPr>
        <w:spacing w:line="360" w:lineRule="auto"/>
        <w:rPr>
          <w:rFonts w:hint="default" w:ascii="Times New Roman" w:hAnsi="Times New Roman" w:cs="Times New Roman"/>
          <w:color w:val="auto"/>
          <w:sz w:val="32"/>
          <w:szCs w:val="32"/>
        </w:rPr>
      </w:pPr>
      <w:r>
        <w:rPr>
          <w:rFonts w:hint="default" w:ascii="Times New Roman" w:hAnsi="Times New Roman" w:cs="Times New Roman"/>
          <w:color w:val="auto"/>
          <w:sz w:val="32"/>
          <w:szCs w:val="32"/>
        </w:rPr>
        <w:t>其他需要说明的情况</w:t>
      </w:r>
    </w:p>
    <w:p>
      <w:pPr>
        <w:spacing w:line="360" w:lineRule="auto"/>
        <w:ind w:left="800"/>
        <w:rPr>
          <w:rFonts w:hint="default" w:ascii="Times New Roman" w:hAnsi="Times New Roman" w:cs="Times New Roman"/>
          <w:color w:val="auto"/>
          <w:sz w:val="32"/>
          <w:szCs w:val="32"/>
        </w:rPr>
      </w:pPr>
      <w:r>
        <w:rPr>
          <w:rFonts w:hint="default" w:ascii="Times New Roman" w:hAnsi="Times New Roman" w:cs="Times New Roman"/>
          <w:color w:val="auto"/>
          <w:sz w:val="32"/>
          <w:szCs w:val="32"/>
        </w:rPr>
        <w:t>报告需要以下附件：</w:t>
      </w:r>
    </w:p>
    <w:p>
      <w:pPr>
        <w:spacing w:line="360" w:lineRule="auto"/>
        <w:ind w:left="780"/>
        <w:rPr>
          <w:rFonts w:hint="default" w:ascii="Times New Roman" w:hAnsi="Times New Roman" w:cs="Times New Roman"/>
          <w:color w:val="auto"/>
          <w:sz w:val="32"/>
          <w:szCs w:val="32"/>
        </w:rPr>
      </w:pPr>
      <w:r>
        <w:rPr>
          <w:rFonts w:hint="default" w:ascii="Times New Roman" w:hAnsi="Times New Roman" w:cs="Times New Roman"/>
          <w:color w:val="auto"/>
          <w:sz w:val="32"/>
          <w:szCs w:val="32"/>
        </w:rPr>
        <w:t>1、部门整体支出绩效评价基础数据表</w:t>
      </w:r>
    </w:p>
    <w:p>
      <w:pPr>
        <w:spacing w:line="360" w:lineRule="auto"/>
        <w:ind w:left="780"/>
        <w:rPr>
          <w:rFonts w:hint="default" w:ascii="Times New Roman" w:hAnsi="Times New Roman" w:cs="Times New Roman"/>
          <w:color w:val="auto"/>
          <w:sz w:val="32"/>
          <w:szCs w:val="32"/>
        </w:rPr>
      </w:pPr>
      <w:r>
        <w:rPr>
          <w:rFonts w:hint="default" w:ascii="Times New Roman" w:hAnsi="Times New Roman" w:cs="Times New Roman"/>
          <w:color w:val="auto"/>
          <w:sz w:val="32"/>
          <w:szCs w:val="32"/>
        </w:rPr>
        <w:t>2、部门整体支出绩效自评表</w:t>
      </w:r>
    </w:p>
    <w:p>
      <w:pPr>
        <w:spacing w:line="360" w:lineRule="auto"/>
        <w:ind w:left="780"/>
        <w:rPr>
          <w:rFonts w:hint="default" w:ascii="Times New Roman" w:hAnsi="Times New Roman" w:cs="Times New Roman"/>
          <w:color w:val="auto"/>
          <w:sz w:val="32"/>
          <w:szCs w:val="32"/>
        </w:rPr>
      </w:pPr>
      <w:r>
        <w:rPr>
          <w:rFonts w:hint="default" w:ascii="Times New Roman" w:hAnsi="Times New Roman" w:cs="Times New Roman"/>
          <w:color w:val="auto"/>
          <w:sz w:val="32"/>
          <w:szCs w:val="32"/>
        </w:rPr>
        <w:t>3、项目支出绩效自评表</w:t>
      </w:r>
    </w:p>
    <w:p>
      <w:pPr>
        <w:spacing w:line="360" w:lineRule="auto"/>
        <w:ind w:left="780"/>
        <w:rPr>
          <w:rFonts w:hint="default" w:ascii="Times New Roman" w:hAnsi="Times New Roman" w:cs="Times New Roman"/>
          <w:color w:val="auto"/>
          <w:sz w:val="32"/>
          <w:szCs w:val="32"/>
        </w:rPr>
      </w:pPr>
    </w:p>
    <w:p>
      <w:pPr>
        <w:spacing w:line="360" w:lineRule="auto"/>
        <w:ind w:firstLine="960" w:firstLineChars="300"/>
        <w:rPr>
          <w:rFonts w:hint="default" w:ascii="Times New Roman" w:hAnsi="Times New Roman" w:cs="Times New Roman"/>
          <w:color w:val="auto"/>
          <w:sz w:val="32"/>
          <w:szCs w:val="32"/>
        </w:rPr>
      </w:pPr>
      <w:r>
        <w:rPr>
          <w:rFonts w:hint="default" w:ascii="Times New Roman" w:hAnsi="Times New Roman" w:cs="Times New Roman"/>
          <w:color w:val="auto"/>
          <w:sz w:val="32"/>
          <w:szCs w:val="32"/>
        </w:rPr>
        <w:t xml:space="preserve"> </w:t>
      </w:r>
    </w:p>
    <w:p>
      <w:pPr>
        <w:spacing w:line="360" w:lineRule="auto"/>
        <w:ind w:firstLine="640" w:firstLineChars="200"/>
        <w:rPr>
          <w:rFonts w:hint="default" w:ascii="Times New Roman" w:hAnsi="Times New Roman" w:cs="Times New Roman"/>
          <w:color w:val="auto"/>
          <w:sz w:val="32"/>
          <w:szCs w:val="32"/>
        </w:rPr>
      </w:pPr>
    </w:p>
    <w:p>
      <w:pPr>
        <w:spacing w:line="360" w:lineRule="auto"/>
        <w:ind w:firstLine="640" w:firstLineChars="200"/>
        <w:rPr>
          <w:rFonts w:hint="default" w:ascii="Times New Roman" w:hAnsi="Times New Roman" w:cs="Times New Roman"/>
          <w:color w:val="auto"/>
          <w:sz w:val="32"/>
          <w:szCs w:val="32"/>
        </w:rPr>
      </w:pPr>
    </w:p>
    <w:p>
      <w:pPr>
        <w:spacing w:line="360" w:lineRule="auto"/>
        <w:ind w:firstLine="640" w:firstLineChars="200"/>
        <w:rPr>
          <w:rFonts w:hint="default" w:ascii="Times New Roman" w:hAnsi="Times New Roman" w:cs="Times New Roman"/>
          <w:color w:val="auto"/>
          <w:sz w:val="32"/>
          <w:szCs w:val="32"/>
        </w:rPr>
      </w:pPr>
    </w:p>
    <w:p>
      <w:pPr>
        <w:spacing w:line="360" w:lineRule="auto"/>
        <w:ind w:firstLine="3200" w:firstLineChars="1000"/>
        <w:rPr>
          <w:rFonts w:hint="default" w:ascii="Times New Roman" w:hAnsi="Times New Roman" w:cs="Times New Roman"/>
          <w:color w:val="auto"/>
          <w:sz w:val="32"/>
          <w:szCs w:val="32"/>
        </w:rPr>
      </w:pPr>
      <w:r>
        <w:rPr>
          <w:rFonts w:hint="default" w:ascii="Times New Roman" w:hAnsi="Times New Roman" w:cs="Times New Roman"/>
          <w:color w:val="auto"/>
          <w:sz w:val="32"/>
          <w:szCs w:val="32"/>
        </w:rPr>
        <w:t>湖南省新闻出版广电局岳阳中波转播台</w:t>
      </w:r>
    </w:p>
    <w:p>
      <w:pPr>
        <w:spacing w:line="360" w:lineRule="auto"/>
        <w:ind w:firstLine="5760" w:firstLineChars="1800"/>
        <w:rPr>
          <w:rFonts w:hint="default" w:ascii="Times New Roman" w:hAnsi="Times New Roman" w:cs="Times New Roman"/>
          <w:color w:val="auto"/>
          <w:sz w:val="32"/>
          <w:szCs w:val="32"/>
        </w:rPr>
      </w:pPr>
    </w:p>
    <w:p>
      <w:pPr>
        <w:spacing w:line="360" w:lineRule="auto"/>
        <w:ind w:firstLine="5120" w:firstLineChars="1600"/>
        <w:rPr>
          <w:rFonts w:hint="default" w:ascii="Times New Roman" w:hAnsi="Times New Roman" w:cs="Times New Roman"/>
          <w:color w:val="auto"/>
          <w:sz w:val="32"/>
          <w:szCs w:val="32"/>
        </w:rPr>
        <w:sectPr>
          <w:pgSz w:w="11900" w:h="16840"/>
          <w:pgMar w:top="1440" w:right="1440" w:bottom="1087" w:left="1440" w:header="0" w:footer="0" w:gutter="0"/>
          <w:cols w:space="720" w:num="1"/>
          <w:docGrid w:linePitch="360" w:charSpace="0"/>
        </w:sectPr>
      </w:pPr>
      <w:r>
        <w:rPr>
          <w:rFonts w:hint="default" w:ascii="Times New Roman" w:hAnsi="Times New Roman" w:cs="Times New Roman"/>
          <w:color w:val="auto"/>
          <w:sz w:val="32"/>
          <w:szCs w:val="32"/>
        </w:rPr>
        <w:t>2021年4月20日</w:t>
      </w:r>
    </w:p>
    <w:p>
      <w:pPr>
        <w:widowControl/>
        <w:spacing w:after="156" w:afterLines="50" w:line="600" w:lineRule="exact"/>
        <w:jc w:val="left"/>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附件2</w:t>
      </w:r>
    </w:p>
    <w:p>
      <w:pPr>
        <w:spacing w:after="156" w:afterLines="50" w:line="600" w:lineRule="exact"/>
        <w:jc w:val="center"/>
        <w:rPr>
          <w:rFonts w:hint="default" w:ascii="Times New Roman" w:hAnsi="Times New Roman" w:eastAsia="仿宋_GB2312" w:cs="Times New Roman"/>
          <w:color w:val="auto"/>
          <w:kern w:val="0"/>
          <w:sz w:val="24"/>
          <w:szCs w:val="24"/>
        </w:rPr>
      </w:pPr>
      <w:r>
        <w:rPr>
          <w:rFonts w:hint="default" w:ascii="Times New Roman" w:hAnsi="Times New Roman" w:eastAsia="方正小标宋_GBK" w:cs="Times New Roman"/>
          <w:color w:val="auto"/>
          <w:kern w:val="0"/>
          <w:sz w:val="36"/>
          <w:szCs w:val="36"/>
        </w:rPr>
        <w:t>2020年度部门整体支出绩效评价基础数据表</w:t>
      </w:r>
    </w:p>
    <w:tbl>
      <w:tblPr>
        <w:tblStyle w:val="7"/>
        <w:tblW w:w="9636" w:type="dxa"/>
        <w:jc w:val="center"/>
        <w:tblLayout w:type="fixed"/>
        <w:tblCellMar>
          <w:top w:w="0" w:type="dxa"/>
          <w:left w:w="108" w:type="dxa"/>
          <w:bottom w:w="0" w:type="dxa"/>
          <w:right w:w="108" w:type="dxa"/>
        </w:tblCellMar>
      </w:tblPr>
      <w:tblGrid>
        <w:gridCol w:w="3650"/>
        <w:gridCol w:w="1189"/>
        <w:gridCol w:w="849"/>
        <w:gridCol w:w="1129"/>
        <w:gridCol w:w="1111"/>
        <w:gridCol w:w="969"/>
        <w:gridCol w:w="739"/>
      </w:tblGrid>
      <w:tr>
        <w:tblPrEx>
          <w:tblCellMar>
            <w:top w:w="0" w:type="dxa"/>
            <w:left w:w="108" w:type="dxa"/>
            <w:bottom w:w="0" w:type="dxa"/>
            <w:right w:w="108" w:type="dxa"/>
          </w:tblCellMar>
        </w:tblPrEx>
        <w:trPr>
          <w:trHeight w:val="397" w:hRule="atLeast"/>
          <w:jc w:val="center"/>
        </w:trPr>
        <w:tc>
          <w:tcPr>
            <w:tcW w:w="36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财政供养人员情况（人）</w:t>
            </w:r>
          </w:p>
        </w:tc>
        <w:tc>
          <w:tcPr>
            <w:tcW w:w="203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
                <w:bCs/>
                <w:color w:val="auto"/>
                <w:kern w:val="0"/>
                <w:szCs w:val="21"/>
              </w:rPr>
            </w:pPr>
            <w:r>
              <w:rPr>
                <w:rFonts w:hint="default" w:ascii="Times New Roman" w:hAnsi="Times New Roman" w:eastAsia="仿宋_GB2312" w:cs="Times New Roman"/>
                <w:b/>
                <w:bCs/>
                <w:color w:val="auto"/>
                <w:kern w:val="0"/>
                <w:szCs w:val="21"/>
              </w:rPr>
              <w:t>编制数</w:t>
            </w:r>
          </w:p>
        </w:tc>
        <w:tc>
          <w:tcPr>
            <w:tcW w:w="22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
                <w:bCs/>
                <w:color w:val="auto"/>
                <w:kern w:val="0"/>
                <w:szCs w:val="21"/>
              </w:rPr>
            </w:pPr>
            <w:r>
              <w:rPr>
                <w:rFonts w:hint="default" w:ascii="Times New Roman" w:hAnsi="Times New Roman" w:eastAsia="仿宋_GB2312" w:cs="Times New Roman"/>
                <w:b/>
                <w:bCs/>
                <w:color w:val="auto"/>
                <w:kern w:val="0"/>
                <w:szCs w:val="21"/>
              </w:rPr>
              <w:t>2020年实际在职人数</w:t>
            </w:r>
          </w:p>
        </w:tc>
        <w:tc>
          <w:tcPr>
            <w:tcW w:w="170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
                <w:bCs/>
                <w:color w:val="auto"/>
                <w:kern w:val="0"/>
                <w:szCs w:val="21"/>
              </w:rPr>
            </w:pPr>
            <w:r>
              <w:rPr>
                <w:rFonts w:hint="default" w:ascii="Times New Roman" w:hAnsi="Times New Roman" w:eastAsia="仿宋_GB2312" w:cs="Times New Roman"/>
                <w:b/>
                <w:bCs/>
                <w:color w:val="auto"/>
                <w:kern w:val="0"/>
                <w:szCs w:val="21"/>
              </w:rPr>
              <w:t>控制率</w:t>
            </w:r>
          </w:p>
        </w:tc>
      </w:tr>
      <w:tr>
        <w:tblPrEx>
          <w:tblCellMar>
            <w:top w:w="0" w:type="dxa"/>
            <w:left w:w="108" w:type="dxa"/>
            <w:bottom w:w="0" w:type="dxa"/>
            <w:right w:w="108" w:type="dxa"/>
          </w:tblCellMar>
        </w:tblPrEx>
        <w:trPr>
          <w:trHeight w:val="397" w:hRule="atLeast"/>
          <w:jc w:val="center"/>
        </w:trPr>
        <w:tc>
          <w:tcPr>
            <w:tcW w:w="36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kern w:val="0"/>
                <w:szCs w:val="21"/>
              </w:rPr>
            </w:pPr>
          </w:p>
        </w:tc>
        <w:tc>
          <w:tcPr>
            <w:tcW w:w="203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34</w:t>
            </w:r>
          </w:p>
        </w:tc>
        <w:tc>
          <w:tcPr>
            <w:tcW w:w="22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24</w:t>
            </w:r>
          </w:p>
        </w:tc>
        <w:tc>
          <w:tcPr>
            <w:tcW w:w="170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70.58%</w:t>
            </w:r>
          </w:p>
        </w:tc>
      </w:tr>
      <w:tr>
        <w:tblPrEx>
          <w:tblCellMar>
            <w:top w:w="0" w:type="dxa"/>
            <w:left w:w="108" w:type="dxa"/>
            <w:bottom w:w="0" w:type="dxa"/>
            <w:right w:w="108" w:type="dxa"/>
          </w:tblCellMar>
        </w:tblPrEx>
        <w:trPr>
          <w:trHeight w:val="397" w:hRule="atLeast"/>
          <w:jc w:val="center"/>
        </w:trPr>
        <w:tc>
          <w:tcPr>
            <w:tcW w:w="365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经费控制情况（万元）</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b/>
                <w:bCs/>
                <w:color w:val="auto"/>
                <w:kern w:val="0"/>
                <w:szCs w:val="21"/>
              </w:rPr>
            </w:pPr>
            <w:r>
              <w:rPr>
                <w:rFonts w:hint="default" w:ascii="Times New Roman" w:hAnsi="Times New Roman" w:eastAsia="仿宋_GB2312" w:cs="Times New Roman"/>
                <w:b/>
                <w:bCs/>
                <w:color w:val="auto"/>
                <w:kern w:val="0"/>
                <w:szCs w:val="21"/>
              </w:rPr>
              <w:t>2019年决算数</w:t>
            </w:r>
          </w:p>
        </w:tc>
        <w:tc>
          <w:tcPr>
            <w:tcW w:w="2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b/>
                <w:bCs/>
                <w:color w:val="auto"/>
                <w:kern w:val="0"/>
                <w:szCs w:val="21"/>
              </w:rPr>
            </w:pPr>
            <w:r>
              <w:rPr>
                <w:rFonts w:hint="default" w:ascii="Times New Roman" w:hAnsi="Times New Roman" w:eastAsia="仿宋_GB2312" w:cs="Times New Roman"/>
                <w:b/>
                <w:bCs/>
                <w:color w:val="auto"/>
                <w:kern w:val="0"/>
                <w:szCs w:val="21"/>
              </w:rPr>
              <w:t>2020年预算数</w:t>
            </w:r>
          </w:p>
        </w:tc>
        <w:tc>
          <w:tcPr>
            <w:tcW w:w="170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b/>
                <w:bCs/>
                <w:color w:val="auto"/>
                <w:kern w:val="0"/>
                <w:szCs w:val="21"/>
              </w:rPr>
            </w:pPr>
            <w:r>
              <w:rPr>
                <w:rFonts w:hint="default" w:ascii="Times New Roman" w:hAnsi="Times New Roman" w:eastAsia="仿宋_GB2312" w:cs="Times New Roman"/>
                <w:b/>
                <w:bCs/>
                <w:color w:val="auto"/>
                <w:kern w:val="0"/>
                <w:szCs w:val="21"/>
              </w:rPr>
              <w:t>2020年决算数</w:t>
            </w:r>
          </w:p>
        </w:tc>
      </w:tr>
      <w:tr>
        <w:tblPrEx>
          <w:tblCellMar>
            <w:top w:w="0" w:type="dxa"/>
            <w:left w:w="108" w:type="dxa"/>
            <w:bottom w:w="0" w:type="dxa"/>
            <w:right w:w="108" w:type="dxa"/>
          </w:tblCellMar>
        </w:tblPrEx>
        <w:trPr>
          <w:trHeight w:val="397" w:hRule="atLeast"/>
          <w:jc w:val="center"/>
        </w:trPr>
        <w:tc>
          <w:tcPr>
            <w:tcW w:w="365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三公经费</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81948.43</w:t>
            </w:r>
          </w:p>
        </w:tc>
        <w:tc>
          <w:tcPr>
            <w:tcW w:w="2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35000</w:t>
            </w:r>
          </w:p>
        </w:tc>
        <w:tc>
          <w:tcPr>
            <w:tcW w:w="170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25889</w:t>
            </w:r>
          </w:p>
        </w:tc>
      </w:tr>
      <w:tr>
        <w:tblPrEx>
          <w:tblCellMar>
            <w:top w:w="0" w:type="dxa"/>
            <w:left w:w="108" w:type="dxa"/>
            <w:bottom w:w="0" w:type="dxa"/>
            <w:right w:w="108" w:type="dxa"/>
          </w:tblCellMar>
        </w:tblPrEx>
        <w:trPr>
          <w:trHeight w:val="397" w:hRule="atLeast"/>
          <w:jc w:val="center"/>
        </w:trPr>
        <w:tc>
          <w:tcPr>
            <w:tcW w:w="365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xml:space="preserve">   1、公务用车购置和维护经费</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69051.43</w:t>
            </w:r>
          </w:p>
        </w:tc>
        <w:tc>
          <w:tcPr>
            <w:tcW w:w="2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auto"/>
                <w:kern w:val="0"/>
                <w:szCs w:val="21"/>
              </w:rPr>
            </w:pPr>
          </w:p>
        </w:tc>
        <w:tc>
          <w:tcPr>
            <w:tcW w:w="170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auto"/>
                <w:kern w:val="0"/>
                <w:szCs w:val="21"/>
              </w:rPr>
            </w:pPr>
          </w:p>
        </w:tc>
      </w:tr>
      <w:tr>
        <w:tblPrEx>
          <w:tblCellMar>
            <w:top w:w="0" w:type="dxa"/>
            <w:left w:w="108" w:type="dxa"/>
            <w:bottom w:w="0" w:type="dxa"/>
            <w:right w:w="108" w:type="dxa"/>
          </w:tblCellMar>
        </w:tblPrEx>
        <w:trPr>
          <w:trHeight w:val="397" w:hRule="atLeast"/>
          <w:jc w:val="center"/>
        </w:trPr>
        <w:tc>
          <w:tcPr>
            <w:tcW w:w="365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xml:space="preserve">       其中：公车购置</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auto"/>
                <w:kern w:val="0"/>
                <w:szCs w:val="21"/>
              </w:rPr>
            </w:pPr>
          </w:p>
        </w:tc>
        <w:tc>
          <w:tcPr>
            <w:tcW w:w="2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auto"/>
                <w:kern w:val="0"/>
                <w:szCs w:val="21"/>
              </w:rPr>
            </w:pPr>
          </w:p>
        </w:tc>
        <w:tc>
          <w:tcPr>
            <w:tcW w:w="170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auto"/>
                <w:kern w:val="0"/>
                <w:szCs w:val="21"/>
              </w:rPr>
            </w:pPr>
          </w:p>
        </w:tc>
      </w:tr>
      <w:tr>
        <w:tblPrEx>
          <w:tblCellMar>
            <w:top w:w="0" w:type="dxa"/>
            <w:left w:w="108" w:type="dxa"/>
            <w:bottom w:w="0" w:type="dxa"/>
            <w:right w:w="108" w:type="dxa"/>
          </w:tblCellMar>
        </w:tblPrEx>
        <w:trPr>
          <w:trHeight w:val="397" w:hRule="atLeast"/>
          <w:jc w:val="center"/>
        </w:trPr>
        <w:tc>
          <w:tcPr>
            <w:tcW w:w="365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xml:space="preserve">             公车运行维护</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69051.43</w:t>
            </w:r>
          </w:p>
        </w:tc>
        <w:tc>
          <w:tcPr>
            <w:tcW w:w="2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20000</w:t>
            </w:r>
          </w:p>
        </w:tc>
        <w:tc>
          <w:tcPr>
            <w:tcW w:w="170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20000</w:t>
            </w:r>
          </w:p>
        </w:tc>
      </w:tr>
      <w:tr>
        <w:tblPrEx>
          <w:tblCellMar>
            <w:top w:w="0" w:type="dxa"/>
            <w:left w:w="108" w:type="dxa"/>
            <w:bottom w:w="0" w:type="dxa"/>
            <w:right w:w="108" w:type="dxa"/>
          </w:tblCellMar>
        </w:tblPrEx>
        <w:trPr>
          <w:trHeight w:val="397" w:hRule="atLeast"/>
          <w:jc w:val="center"/>
        </w:trPr>
        <w:tc>
          <w:tcPr>
            <w:tcW w:w="365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xml:space="preserve">   2、出国经费</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auto"/>
                <w:kern w:val="0"/>
                <w:szCs w:val="21"/>
              </w:rPr>
            </w:pPr>
          </w:p>
        </w:tc>
        <w:tc>
          <w:tcPr>
            <w:tcW w:w="2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auto"/>
                <w:kern w:val="0"/>
                <w:szCs w:val="21"/>
              </w:rPr>
            </w:pPr>
          </w:p>
        </w:tc>
        <w:tc>
          <w:tcPr>
            <w:tcW w:w="170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auto"/>
                <w:kern w:val="0"/>
                <w:szCs w:val="21"/>
              </w:rPr>
            </w:pPr>
          </w:p>
        </w:tc>
      </w:tr>
      <w:tr>
        <w:tblPrEx>
          <w:tblCellMar>
            <w:top w:w="0" w:type="dxa"/>
            <w:left w:w="108" w:type="dxa"/>
            <w:bottom w:w="0" w:type="dxa"/>
            <w:right w:w="108" w:type="dxa"/>
          </w:tblCellMar>
        </w:tblPrEx>
        <w:trPr>
          <w:trHeight w:val="397" w:hRule="atLeast"/>
          <w:jc w:val="center"/>
        </w:trPr>
        <w:tc>
          <w:tcPr>
            <w:tcW w:w="365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xml:space="preserve">   3、公务接待</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12897</w:t>
            </w:r>
          </w:p>
        </w:tc>
        <w:tc>
          <w:tcPr>
            <w:tcW w:w="2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15000</w:t>
            </w:r>
          </w:p>
        </w:tc>
        <w:tc>
          <w:tcPr>
            <w:tcW w:w="170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5889</w:t>
            </w:r>
          </w:p>
        </w:tc>
      </w:tr>
      <w:tr>
        <w:tblPrEx>
          <w:tblCellMar>
            <w:top w:w="0" w:type="dxa"/>
            <w:left w:w="108" w:type="dxa"/>
            <w:bottom w:w="0" w:type="dxa"/>
            <w:right w:w="108" w:type="dxa"/>
          </w:tblCellMar>
        </w:tblPrEx>
        <w:trPr>
          <w:trHeight w:val="397" w:hRule="atLeast"/>
          <w:jc w:val="center"/>
        </w:trPr>
        <w:tc>
          <w:tcPr>
            <w:tcW w:w="365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项目支出：</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202100</w:t>
            </w:r>
          </w:p>
        </w:tc>
        <w:tc>
          <w:tcPr>
            <w:tcW w:w="2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auto"/>
                <w:kern w:val="0"/>
                <w:szCs w:val="21"/>
              </w:rPr>
            </w:pPr>
          </w:p>
        </w:tc>
        <w:tc>
          <w:tcPr>
            <w:tcW w:w="170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109518</w:t>
            </w:r>
          </w:p>
        </w:tc>
      </w:tr>
      <w:tr>
        <w:tblPrEx>
          <w:tblCellMar>
            <w:top w:w="0" w:type="dxa"/>
            <w:left w:w="108" w:type="dxa"/>
            <w:bottom w:w="0" w:type="dxa"/>
            <w:right w:w="108" w:type="dxa"/>
          </w:tblCellMar>
        </w:tblPrEx>
        <w:trPr>
          <w:trHeight w:val="397" w:hRule="atLeast"/>
          <w:jc w:val="center"/>
        </w:trPr>
        <w:tc>
          <w:tcPr>
            <w:tcW w:w="365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xml:space="preserve">    1、业务工作经费</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141100</w:t>
            </w:r>
          </w:p>
        </w:tc>
        <w:tc>
          <w:tcPr>
            <w:tcW w:w="2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auto"/>
                <w:kern w:val="0"/>
                <w:szCs w:val="21"/>
              </w:rPr>
            </w:pPr>
          </w:p>
        </w:tc>
        <w:tc>
          <w:tcPr>
            <w:tcW w:w="170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109518</w:t>
            </w:r>
          </w:p>
        </w:tc>
      </w:tr>
      <w:tr>
        <w:tblPrEx>
          <w:tblCellMar>
            <w:top w:w="0" w:type="dxa"/>
            <w:left w:w="108" w:type="dxa"/>
            <w:bottom w:w="0" w:type="dxa"/>
            <w:right w:w="108" w:type="dxa"/>
          </w:tblCellMar>
        </w:tblPrEx>
        <w:trPr>
          <w:trHeight w:val="397" w:hRule="atLeast"/>
          <w:jc w:val="center"/>
        </w:trPr>
        <w:tc>
          <w:tcPr>
            <w:tcW w:w="365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xml:space="preserve">    2、运行维护经费</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61000</w:t>
            </w:r>
          </w:p>
        </w:tc>
        <w:tc>
          <w:tcPr>
            <w:tcW w:w="2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auto"/>
                <w:kern w:val="0"/>
                <w:szCs w:val="21"/>
              </w:rPr>
            </w:pPr>
          </w:p>
        </w:tc>
        <w:tc>
          <w:tcPr>
            <w:tcW w:w="170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auto"/>
                <w:kern w:val="0"/>
                <w:szCs w:val="21"/>
              </w:rPr>
            </w:pPr>
          </w:p>
        </w:tc>
      </w:tr>
      <w:tr>
        <w:tblPrEx>
          <w:tblCellMar>
            <w:top w:w="0" w:type="dxa"/>
            <w:left w:w="108" w:type="dxa"/>
            <w:bottom w:w="0" w:type="dxa"/>
            <w:right w:w="108" w:type="dxa"/>
          </w:tblCellMar>
        </w:tblPrEx>
        <w:trPr>
          <w:trHeight w:val="397" w:hRule="atLeast"/>
          <w:jc w:val="center"/>
        </w:trPr>
        <w:tc>
          <w:tcPr>
            <w:tcW w:w="365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auto"/>
                <w:kern w:val="0"/>
                <w:szCs w:val="21"/>
              </w:rPr>
            </w:pPr>
          </w:p>
        </w:tc>
        <w:tc>
          <w:tcPr>
            <w:tcW w:w="2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auto"/>
                <w:kern w:val="0"/>
                <w:szCs w:val="21"/>
              </w:rPr>
            </w:pPr>
          </w:p>
        </w:tc>
        <w:tc>
          <w:tcPr>
            <w:tcW w:w="170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auto"/>
                <w:kern w:val="0"/>
                <w:szCs w:val="21"/>
              </w:rPr>
            </w:pPr>
          </w:p>
        </w:tc>
      </w:tr>
      <w:tr>
        <w:tblPrEx>
          <w:tblCellMar>
            <w:top w:w="0" w:type="dxa"/>
            <w:left w:w="108" w:type="dxa"/>
            <w:bottom w:w="0" w:type="dxa"/>
            <w:right w:w="108" w:type="dxa"/>
          </w:tblCellMar>
        </w:tblPrEx>
        <w:trPr>
          <w:trHeight w:val="397" w:hRule="atLeast"/>
          <w:jc w:val="center"/>
        </w:trPr>
        <w:tc>
          <w:tcPr>
            <w:tcW w:w="365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3、省级专项资金（一个专项一行）</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auto"/>
                <w:kern w:val="0"/>
                <w:szCs w:val="21"/>
              </w:rPr>
            </w:pPr>
          </w:p>
        </w:tc>
        <w:tc>
          <w:tcPr>
            <w:tcW w:w="2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auto"/>
                <w:kern w:val="0"/>
                <w:szCs w:val="21"/>
              </w:rPr>
            </w:pPr>
          </w:p>
        </w:tc>
        <w:tc>
          <w:tcPr>
            <w:tcW w:w="170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auto"/>
                <w:kern w:val="0"/>
                <w:szCs w:val="21"/>
              </w:rPr>
            </w:pPr>
          </w:p>
        </w:tc>
      </w:tr>
      <w:tr>
        <w:tblPrEx>
          <w:tblCellMar>
            <w:top w:w="0" w:type="dxa"/>
            <w:left w:w="108" w:type="dxa"/>
            <w:bottom w:w="0" w:type="dxa"/>
            <w:right w:w="108" w:type="dxa"/>
          </w:tblCellMar>
        </w:tblPrEx>
        <w:trPr>
          <w:trHeight w:val="397" w:hRule="atLeast"/>
          <w:jc w:val="center"/>
        </w:trPr>
        <w:tc>
          <w:tcPr>
            <w:tcW w:w="365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auto"/>
                <w:kern w:val="0"/>
                <w:szCs w:val="21"/>
              </w:rPr>
            </w:pPr>
          </w:p>
        </w:tc>
        <w:tc>
          <w:tcPr>
            <w:tcW w:w="2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auto"/>
                <w:kern w:val="0"/>
                <w:szCs w:val="21"/>
              </w:rPr>
            </w:pPr>
          </w:p>
        </w:tc>
        <w:tc>
          <w:tcPr>
            <w:tcW w:w="170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auto"/>
                <w:kern w:val="0"/>
                <w:szCs w:val="21"/>
              </w:rPr>
            </w:pPr>
          </w:p>
        </w:tc>
      </w:tr>
      <w:tr>
        <w:tblPrEx>
          <w:tblCellMar>
            <w:top w:w="0" w:type="dxa"/>
            <w:left w:w="108" w:type="dxa"/>
            <w:bottom w:w="0" w:type="dxa"/>
            <w:right w:w="108" w:type="dxa"/>
          </w:tblCellMar>
        </w:tblPrEx>
        <w:trPr>
          <w:trHeight w:val="397" w:hRule="atLeast"/>
          <w:jc w:val="center"/>
        </w:trPr>
        <w:tc>
          <w:tcPr>
            <w:tcW w:w="365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公用经费</w:t>
            </w:r>
          </w:p>
        </w:tc>
        <w:tc>
          <w:tcPr>
            <w:tcW w:w="2038" w:type="dxa"/>
            <w:gridSpan w:val="2"/>
            <w:tcBorders>
              <w:top w:val="single" w:color="auto" w:sz="4" w:space="0"/>
              <w:left w:val="nil"/>
              <w:bottom w:val="single" w:color="auto" w:sz="4" w:space="0"/>
              <w:right w:val="single" w:color="000000" w:sz="4" w:space="0"/>
            </w:tcBorders>
            <w:shd w:val="clear" w:color="auto" w:fill="auto"/>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197677</w:t>
            </w:r>
          </w:p>
        </w:tc>
        <w:tc>
          <w:tcPr>
            <w:tcW w:w="2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auto"/>
                <w:kern w:val="0"/>
                <w:szCs w:val="21"/>
              </w:rPr>
            </w:pPr>
          </w:p>
        </w:tc>
        <w:tc>
          <w:tcPr>
            <w:tcW w:w="170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auto"/>
                <w:kern w:val="0"/>
                <w:szCs w:val="21"/>
              </w:rPr>
            </w:pPr>
          </w:p>
        </w:tc>
      </w:tr>
      <w:tr>
        <w:tblPrEx>
          <w:tblCellMar>
            <w:top w:w="0" w:type="dxa"/>
            <w:left w:w="108" w:type="dxa"/>
            <w:bottom w:w="0" w:type="dxa"/>
            <w:right w:w="108" w:type="dxa"/>
          </w:tblCellMar>
        </w:tblPrEx>
        <w:trPr>
          <w:trHeight w:val="397" w:hRule="atLeast"/>
          <w:jc w:val="center"/>
        </w:trPr>
        <w:tc>
          <w:tcPr>
            <w:tcW w:w="365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xml:space="preserve">    其中：办公经费</w:t>
            </w:r>
          </w:p>
        </w:tc>
        <w:tc>
          <w:tcPr>
            <w:tcW w:w="2038" w:type="dxa"/>
            <w:gridSpan w:val="2"/>
            <w:tcBorders>
              <w:top w:val="single" w:color="auto" w:sz="4" w:space="0"/>
              <w:left w:val="nil"/>
              <w:bottom w:val="single" w:color="auto" w:sz="4" w:space="0"/>
              <w:right w:val="single" w:color="000000" w:sz="4" w:space="0"/>
            </w:tcBorders>
            <w:shd w:val="clear" w:color="auto" w:fill="auto"/>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30881</w:t>
            </w:r>
          </w:p>
        </w:tc>
        <w:tc>
          <w:tcPr>
            <w:tcW w:w="2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30000</w:t>
            </w:r>
          </w:p>
        </w:tc>
        <w:tc>
          <w:tcPr>
            <w:tcW w:w="170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29792</w:t>
            </w:r>
          </w:p>
        </w:tc>
      </w:tr>
      <w:tr>
        <w:tblPrEx>
          <w:tblCellMar>
            <w:top w:w="0" w:type="dxa"/>
            <w:left w:w="108" w:type="dxa"/>
            <w:bottom w:w="0" w:type="dxa"/>
            <w:right w:w="108" w:type="dxa"/>
          </w:tblCellMar>
        </w:tblPrEx>
        <w:trPr>
          <w:trHeight w:val="397" w:hRule="atLeast"/>
          <w:jc w:val="center"/>
        </w:trPr>
        <w:tc>
          <w:tcPr>
            <w:tcW w:w="365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xml:space="preserve">          水费、电费、差旅费</w:t>
            </w:r>
          </w:p>
        </w:tc>
        <w:tc>
          <w:tcPr>
            <w:tcW w:w="2038" w:type="dxa"/>
            <w:gridSpan w:val="2"/>
            <w:tcBorders>
              <w:top w:val="single" w:color="auto" w:sz="4" w:space="0"/>
              <w:left w:val="nil"/>
              <w:bottom w:val="single" w:color="auto" w:sz="4" w:space="0"/>
              <w:right w:val="single" w:color="000000" w:sz="4" w:space="0"/>
            </w:tcBorders>
            <w:shd w:val="clear" w:color="auto" w:fill="auto"/>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151576</w:t>
            </w:r>
          </w:p>
        </w:tc>
        <w:tc>
          <w:tcPr>
            <w:tcW w:w="2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150000</w:t>
            </w:r>
          </w:p>
        </w:tc>
        <w:tc>
          <w:tcPr>
            <w:tcW w:w="170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135873.5</w:t>
            </w:r>
          </w:p>
        </w:tc>
      </w:tr>
      <w:tr>
        <w:tblPrEx>
          <w:tblCellMar>
            <w:top w:w="0" w:type="dxa"/>
            <w:left w:w="108" w:type="dxa"/>
            <w:bottom w:w="0" w:type="dxa"/>
            <w:right w:w="108" w:type="dxa"/>
          </w:tblCellMar>
        </w:tblPrEx>
        <w:trPr>
          <w:trHeight w:val="397" w:hRule="atLeast"/>
          <w:jc w:val="center"/>
        </w:trPr>
        <w:tc>
          <w:tcPr>
            <w:tcW w:w="365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xml:space="preserve">          会议费、培训费</w:t>
            </w:r>
          </w:p>
        </w:tc>
        <w:tc>
          <w:tcPr>
            <w:tcW w:w="2038" w:type="dxa"/>
            <w:gridSpan w:val="2"/>
            <w:tcBorders>
              <w:top w:val="single" w:color="auto" w:sz="4" w:space="0"/>
              <w:left w:val="nil"/>
              <w:bottom w:val="single" w:color="auto" w:sz="4" w:space="0"/>
              <w:right w:val="single" w:color="000000" w:sz="4" w:space="0"/>
            </w:tcBorders>
            <w:shd w:val="clear" w:color="auto" w:fill="auto"/>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15220</w:t>
            </w:r>
          </w:p>
        </w:tc>
        <w:tc>
          <w:tcPr>
            <w:tcW w:w="2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20000</w:t>
            </w:r>
          </w:p>
        </w:tc>
        <w:tc>
          <w:tcPr>
            <w:tcW w:w="170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7742</w:t>
            </w:r>
          </w:p>
        </w:tc>
      </w:tr>
      <w:tr>
        <w:tblPrEx>
          <w:tblCellMar>
            <w:top w:w="0" w:type="dxa"/>
            <w:left w:w="108" w:type="dxa"/>
            <w:bottom w:w="0" w:type="dxa"/>
            <w:right w:w="108" w:type="dxa"/>
          </w:tblCellMar>
        </w:tblPrEx>
        <w:trPr>
          <w:trHeight w:val="397" w:hRule="atLeast"/>
          <w:jc w:val="center"/>
        </w:trPr>
        <w:tc>
          <w:tcPr>
            <w:tcW w:w="365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政府采购金额</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w:t>
            </w:r>
          </w:p>
        </w:tc>
        <w:tc>
          <w:tcPr>
            <w:tcW w:w="2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50000</w:t>
            </w:r>
          </w:p>
        </w:tc>
        <w:tc>
          <w:tcPr>
            <w:tcW w:w="170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50000</w:t>
            </w:r>
          </w:p>
        </w:tc>
      </w:tr>
      <w:tr>
        <w:tblPrEx>
          <w:tblCellMar>
            <w:top w:w="0" w:type="dxa"/>
            <w:left w:w="108" w:type="dxa"/>
            <w:bottom w:w="0" w:type="dxa"/>
            <w:right w:w="108" w:type="dxa"/>
          </w:tblCellMar>
        </w:tblPrEx>
        <w:trPr>
          <w:trHeight w:val="397" w:hRule="atLeast"/>
          <w:jc w:val="center"/>
        </w:trPr>
        <w:tc>
          <w:tcPr>
            <w:tcW w:w="365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xml:space="preserve">部门基本支出预算调整 </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w:t>
            </w:r>
          </w:p>
        </w:tc>
        <w:tc>
          <w:tcPr>
            <w:tcW w:w="2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c>
          <w:tcPr>
            <w:tcW w:w="170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r>
      <w:tr>
        <w:tblPrEx>
          <w:tblCellMar>
            <w:top w:w="0" w:type="dxa"/>
            <w:left w:w="108" w:type="dxa"/>
            <w:bottom w:w="0" w:type="dxa"/>
            <w:right w:w="108" w:type="dxa"/>
          </w:tblCellMar>
        </w:tblPrEx>
        <w:trPr>
          <w:trHeight w:val="837" w:hRule="atLeast"/>
          <w:jc w:val="center"/>
        </w:trPr>
        <w:tc>
          <w:tcPr>
            <w:tcW w:w="365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楼堂馆所控制情况</w:t>
            </w:r>
            <w:r>
              <w:rPr>
                <w:rFonts w:hint="default" w:ascii="Times New Roman" w:hAnsi="Times New Roman" w:eastAsia="仿宋_GB2312" w:cs="Times New Roman"/>
                <w:color w:val="auto"/>
                <w:kern w:val="0"/>
                <w:szCs w:val="21"/>
              </w:rPr>
              <w:br w:type="textWrapping"/>
            </w:r>
            <w:r>
              <w:rPr>
                <w:rFonts w:hint="default" w:ascii="Times New Roman" w:hAnsi="Times New Roman" w:eastAsia="仿宋_GB2312" w:cs="Times New Roman"/>
                <w:color w:val="auto"/>
                <w:kern w:val="0"/>
                <w:szCs w:val="21"/>
              </w:rPr>
              <w:t>（2020年完工项目）</w:t>
            </w:r>
          </w:p>
        </w:tc>
        <w:tc>
          <w:tcPr>
            <w:tcW w:w="11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仿宋_GB2312" w:cs="Times New Roman"/>
                <w:bCs/>
                <w:color w:val="auto"/>
                <w:kern w:val="0"/>
                <w:szCs w:val="21"/>
              </w:rPr>
            </w:pPr>
            <w:r>
              <w:rPr>
                <w:rFonts w:hint="default" w:ascii="Times New Roman" w:hAnsi="Times New Roman" w:eastAsia="仿宋_GB2312" w:cs="Times New Roman"/>
                <w:bCs/>
                <w:color w:val="auto"/>
                <w:kern w:val="0"/>
                <w:szCs w:val="21"/>
              </w:rPr>
              <w:t>批复规模</w:t>
            </w:r>
            <w:r>
              <w:rPr>
                <w:rFonts w:hint="default" w:ascii="Times New Roman" w:hAnsi="Times New Roman" w:eastAsia="仿宋_GB2312" w:cs="Times New Roman"/>
                <w:bCs/>
                <w:color w:val="auto"/>
                <w:kern w:val="0"/>
                <w:szCs w:val="21"/>
              </w:rPr>
              <w:br w:type="textWrapping"/>
            </w:r>
            <w:r>
              <w:rPr>
                <w:rFonts w:hint="default" w:ascii="Times New Roman" w:hAnsi="Times New Roman" w:eastAsia="仿宋_GB2312" w:cs="Times New Roman"/>
                <w:bCs/>
                <w:color w:val="auto"/>
                <w:kern w:val="0"/>
                <w:szCs w:val="21"/>
              </w:rPr>
              <w:t>（㎡）</w:t>
            </w:r>
          </w:p>
        </w:tc>
        <w:tc>
          <w:tcPr>
            <w:tcW w:w="84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仿宋_GB2312" w:cs="Times New Roman"/>
                <w:bCs/>
                <w:color w:val="auto"/>
                <w:kern w:val="0"/>
                <w:szCs w:val="21"/>
              </w:rPr>
            </w:pPr>
            <w:r>
              <w:rPr>
                <w:rFonts w:hint="default" w:ascii="Times New Roman" w:hAnsi="Times New Roman" w:eastAsia="仿宋_GB2312" w:cs="Times New Roman"/>
                <w:bCs/>
                <w:color w:val="auto"/>
                <w:kern w:val="0"/>
                <w:szCs w:val="21"/>
              </w:rPr>
              <w:t>实际规模（㎡）</w:t>
            </w:r>
          </w:p>
        </w:tc>
        <w:tc>
          <w:tcPr>
            <w:tcW w:w="112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仿宋_GB2312" w:cs="Times New Roman"/>
                <w:bCs/>
                <w:color w:val="auto"/>
                <w:kern w:val="0"/>
                <w:szCs w:val="21"/>
              </w:rPr>
            </w:pPr>
            <w:r>
              <w:rPr>
                <w:rFonts w:hint="default" w:ascii="Times New Roman" w:hAnsi="Times New Roman" w:eastAsia="仿宋_GB2312" w:cs="Times New Roman"/>
                <w:bCs/>
                <w:color w:val="auto"/>
                <w:kern w:val="0"/>
                <w:szCs w:val="21"/>
              </w:rPr>
              <w:t>规模控制率</w:t>
            </w:r>
          </w:p>
        </w:tc>
        <w:tc>
          <w:tcPr>
            <w:tcW w:w="111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仿宋_GB2312" w:cs="Times New Roman"/>
                <w:bCs/>
                <w:color w:val="auto"/>
                <w:kern w:val="0"/>
                <w:szCs w:val="21"/>
              </w:rPr>
            </w:pPr>
            <w:r>
              <w:rPr>
                <w:rFonts w:hint="default" w:ascii="Times New Roman" w:hAnsi="Times New Roman" w:eastAsia="仿宋_GB2312" w:cs="Times New Roman"/>
                <w:bCs/>
                <w:color w:val="auto"/>
                <w:kern w:val="0"/>
                <w:szCs w:val="21"/>
              </w:rPr>
              <w:t>预算投资（万元）</w:t>
            </w:r>
          </w:p>
        </w:tc>
        <w:tc>
          <w:tcPr>
            <w:tcW w:w="9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仿宋_GB2312" w:cs="Times New Roman"/>
                <w:bCs/>
                <w:color w:val="auto"/>
                <w:kern w:val="0"/>
                <w:szCs w:val="21"/>
              </w:rPr>
            </w:pPr>
            <w:r>
              <w:rPr>
                <w:rFonts w:hint="default" w:ascii="Times New Roman" w:hAnsi="Times New Roman" w:eastAsia="仿宋_GB2312" w:cs="Times New Roman"/>
                <w:bCs/>
                <w:color w:val="auto"/>
                <w:kern w:val="0"/>
                <w:szCs w:val="21"/>
              </w:rPr>
              <w:t>实际投资（万元）</w:t>
            </w:r>
          </w:p>
        </w:tc>
        <w:tc>
          <w:tcPr>
            <w:tcW w:w="73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仿宋_GB2312" w:cs="Times New Roman"/>
                <w:bCs/>
                <w:color w:val="auto"/>
                <w:kern w:val="0"/>
                <w:szCs w:val="21"/>
              </w:rPr>
            </w:pPr>
            <w:r>
              <w:rPr>
                <w:rFonts w:hint="default" w:ascii="Times New Roman" w:hAnsi="Times New Roman" w:eastAsia="仿宋_GB2312" w:cs="Times New Roman"/>
                <w:bCs/>
                <w:color w:val="auto"/>
                <w:kern w:val="0"/>
                <w:szCs w:val="21"/>
              </w:rPr>
              <w:t>投资概算控制率</w:t>
            </w:r>
          </w:p>
        </w:tc>
      </w:tr>
      <w:tr>
        <w:tblPrEx>
          <w:tblCellMar>
            <w:top w:w="0" w:type="dxa"/>
            <w:left w:w="108" w:type="dxa"/>
            <w:bottom w:w="0" w:type="dxa"/>
            <w:right w:w="108" w:type="dxa"/>
          </w:tblCellMar>
        </w:tblPrEx>
        <w:trPr>
          <w:trHeight w:val="454" w:hRule="atLeast"/>
          <w:jc w:val="center"/>
        </w:trPr>
        <w:tc>
          <w:tcPr>
            <w:tcW w:w="3650"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kern w:val="0"/>
                <w:szCs w:val="21"/>
              </w:rPr>
            </w:pPr>
          </w:p>
        </w:tc>
        <w:tc>
          <w:tcPr>
            <w:tcW w:w="1189"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c>
          <w:tcPr>
            <w:tcW w:w="849"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c>
          <w:tcPr>
            <w:tcW w:w="1129"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c>
          <w:tcPr>
            <w:tcW w:w="1111"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c>
          <w:tcPr>
            <w:tcW w:w="969"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c>
          <w:tcPr>
            <w:tcW w:w="739"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r>
      <w:tr>
        <w:tblPrEx>
          <w:tblCellMar>
            <w:top w:w="0" w:type="dxa"/>
            <w:left w:w="108" w:type="dxa"/>
            <w:bottom w:w="0" w:type="dxa"/>
            <w:right w:w="108" w:type="dxa"/>
          </w:tblCellMar>
        </w:tblPrEx>
        <w:trPr>
          <w:trHeight w:val="756" w:hRule="atLeast"/>
          <w:jc w:val="center"/>
        </w:trPr>
        <w:tc>
          <w:tcPr>
            <w:tcW w:w="365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厉行节约保障措施</w:t>
            </w:r>
          </w:p>
        </w:tc>
        <w:tc>
          <w:tcPr>
            <w:tcW w:w="5986" w:type="dxa"/>
            <w:gridSpan w:val="6"/>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rPr>
              <w:t>积极开展“绿色办公、绿色通行、资源节约”等活动。</w:t>
            </w:r>
            <w:r>
              <w:rPr>
                <w:rFonts w:hint="default" w:ascii="Times New Roman" w:hAnsi="Times New Roman" w:eastAsia="仿宋_GB2312" w:cs="Times New Roman"/>
                <w:color w:val="auto"/>
                <w:kern w:val="0"/>
                <w:szCs w:val="21"/>
              </w:rPr>
              <w:t>　</w:t>
            </w:r>
          </w:p>
        </w:tc>
      </w:tr>
    </w:tbl>
    <w:p>
      <w:pPr>
        <w:widowControl/>
        <w:jc w:val="left"/>
        <w:rPr>
          <w:rFonts w:hint="default" w:ascii="Times New Roman" w:hAnsi="Times New Roman" w:eastAsia="仿宋_GB2312" w:cs="Times New Roman"/>
          <w:color w:val="auto"/>
          <w:kern w:val="0"/>
          <w:sz w:val="22"/>
          <w:szCs w:val="24"/>
        </w:rPr>
      </w:pPr>
      <w:r>
        <w:rPr>
          <w:rFonts w:hint="default" w:ascii="Times New Roman" w:hAnsi="Times New Roman" w:eastAsia="仿宋_GB2312" w:cs="Times New Roman"/>
          <w:color w:val="auto"/>
          <w:kern w:val="0"/>
          <w:sz w:val="22"/>
          <w:szCs w:val="24"/>
        </w:rPr>
        <w:t>说明：“项目支出”需要填报基本支出以外的所有项目支出情况，“公用经费”填报基本支出中的一般商品和服务支出。</w:t>
      </w:r>
    </w:p>
    <w:p>
      <w:pPr>
        <w:widowControl/>
        <w:jc w:val="left"/>
        <w:rPr>
          <w:rFonts w:hint="default" w:ascii="Times New Roman" w:hAnsi="Times New Roman" w:eastAsia="仿宋_GB2312" w:cs="Times New Roman"/>
          <w:color w:val="auto"/>
          <w:kern w:val="0"/>
          <w:sz w:val="22"/>
          <w:szCs w:val="24"/>
        </w:rPr>
      </w:pPr>
    </w:p>
    <w:p>
      <w:pPr>
        <w:spacing w:line="366" w:lineRule="exact"/>
        <w:rPr>
          <w:rFonts w:hint="default" w:ascii="Times New Roman" w:hAnsi="Times New Roman" w:eastAsia="宋体" w:cs="Times New Roman"/>
          <w:color w:val="auto"/>
          <w:sz w:val="32"/>
        </w:rPr>
      </w:pPr>
      <w:r>
        <w:rPr>
          <w:rFonts w:hint="default" w:ascii="Times New Roman" w:hAnsi="Times New Roman" w:eastAsia="仿宋_GB2312" w:cs="Times New Roman"/>
          <w:color w:val="auto"/>
          <w:kern w:val="0"/>
          <w:sz w:val="22"/>
          <w:szCs w:val="24"/>
        </w:rPr>
        <w:t>填表人：张小妹  填报日期：2021-4-8  联系电话：18673075919  单位负责人签字：陈卫东</w:t>
      </w:r>
      <w:r>
        <w:rPr>
          <w:rFonts w:hint="default" w:ascii="Times New Roman" w:hAnsi="Times New Roman" w:eastAsia="仿宋_GB2312" w:cs="Times New Roman"/>
          <w:color w:val="auto"/>
          <w:kern w:val="0"/>
          <w:sz w:val="22"/>
          <w:szCs w:val="24"/>
        </w:rPr>
        <w:br w:type="page"/>
      </w:r>
      <w:r>
        <w:rPr>
          <w:rFonts w:hint="default" w:ascii="Times New Roman" w:hAnsi="Times New Roman" w:eastAsia="宋体" w:cs="Times New Roman"/>
          <w:color w:val="auto"/>
          <w:sz w:val="32"/>
        </w:rPr>
        <w:t xml:space="preserve">附件 </w:t>
      </w:r>
      <w:r>
        <w:rPr>
          <w:rFonts w:hint="default" w:ascii="Times New Roman" w:hAnsi="Times New Roman" w:eastAsia="宋体" w:cs="Times New Roman"/>
          <w:color w:val="auto"/>
          <w:sz w:val="32"/>
        </w:rPr>
        <w:t>3</w:t>
      </w:r>
    </w:p>
    <w:p>
      <w:pPr>
        <w:spacing w:line="171" w:lineRule="exact"/>
        <w:rPr>
          <w:rFonts w:hint="default" w:ascii="Times New Roman" w:hAnsi="Times New Roman" w:eastAsia="Times New Roman" w:cs="Times New Roman"/>
          <w:color w:val="auto"/>
        </w:rPr>
      </w:pPr>
    </w:p>
    <w:p>
      <w:pPr>
        <w:spacing w:line="411" w:lineRule="exact"/>
        <w:jc w:val="center"/>
        <w:rPr>
          <w:rFonts w:hint="default" w:ascii="Times New Roman" w:hAnsi="Times New Roman" w:eastAsia="宋体" w:cs="Times New Roman"/>
          <w:color w:val="auto"/>
          <w:sz w:val="36"/>
        </w:rPr>
      </w:pPr>
      <w:r>
        <w:rPr>
          <w:rFonts w:hint="default" w:ascii="Times New Roman" w:hAnsi="Times New Roman" w:eastAsia="宋体" w:cs="Times New Roman"/>
          <w:color w:val="auto"/>
          <w:sz w:val="36"/>
        </w:rPr>
        <w:t>20</w:t>
      </w:r>
      <w:r>
        <w:rPr>
          <w:rFonts w:hint="default" w:ascii="Times New Roman" w:hAnsi="Times New Roman" w:eastAsia="宋体" w:cs="Times New Roman"/>
          <w:color w:val="auto"/>
          <w:sz w:val="36"/>
        </w:rPr>
        <w:t>20</w:t>
      </w:r>
      <w:r>
        <w:rPr>
          <w:rFonts w:hint="default" w:ascii="Times New Roman" w:hAnsi="Times New Roman" w:eastAsia="宋体" w:cs="Times New Roman"/>
          <w:color w:val="auto"/>
          <w:sz w:val="36"/>
        </w:rPr>
        <w:t>年度部门整体支出绩效自评表</w:t>
      </w:r>
    </w:p>
    <w:tbl>
      <w:tblPr>
        <w:tblStyle w:val="8"/>
        <w:tblW w:w="9785" w:type="dxa"/>
        <w:tblInd w:w="-3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9"/>
        <w:gridCol w:w="1212"/>
        <w:gridCol w:w="1038"/>
        <w:gridCol w:w="1837"/>
        <w:gridCol w:w="900"/>
        <w:gridCol w:w="1000"/>
        <w:gridCol w:w="600"/>
        <w:gridCol w:w="600"/>
        <w:gridCol w:w="1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069" w:type="dxa"/>
            <w:vAlign w:val="bottom"/>
          </w:tcPr>
          <w:p>
            <w:pPr>
              <w:spacing w:line="218" w:lineRule="exact"/>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省级预算部门名称</w:t>
            </w:r>
          </w:p>
        </w:tc>
        <w:tc>
          <w:tcPr>
            <w:tcW w:w="8716" w:type="dxa"/>
            <w:gridSpan w:val="8"/>
            <w:vAlign w:val="bottom"/>
          </w:tcPr>
          <w:p>
            <w:pPr>
              <w:spacing w:line="218" w:lineRule="exact"/>
              <w:ind w:left="100"/>
              <w:rPr>
                <w:rFonts w:hint="default" w:ascii="Times New Roman" w:hAnsi="Times New Roman" w:eastAsia="仿宋_GB2312" w:cs="Times New Roman"/>
                <w:color w:val="auto"/>
                <w:sz w:val="20"/>
                <w:szCs w:val="20"/>
              </w:rPr>
            </w:pPr>
            <w:r>
              <w:rPr>
                <w:rFonts w:hint="default" w:ascii="Times New Roman" w:hAnsi="Times New Roman" w:eastAsia="仿宋_GB2312" w:cs="Times New Roman"/>
                <w:color w:val="auto"/>
                <w:sz w:val="21"/>
                <w:szCs w:val="21"/>
              </w:rPr>
              <w:t>湖南省新闻出版广电局岳阳中波转播台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1069" w:type="dxa"/>
            <w:vMerge w:val="restart"/>
            <w:vAlign w:val="center"/>
          </w:tcPr>
          <w:p>
            <w:pPr>
              <w:spacing w:line="210" w:lineRule="exact"/>
              <w:jc w:val="center"/>
              <w:rPr>
                <w:rFonts w:hint="default" w:ascii="Times New Roman" w:hAnsi="Times New Roman" w:eastAsia="仿宋_GB2312" w:cs="Times New Roman"/>
                <w:color w:val="auto"/>
                <w:w w:val="99"/>
                <w:sz w:val="21"/>
                <w:szCs w:val="21"/>
              </w:rPr>
            </w:pPr>
            <w:r>
              <w:rPr>
                <w:rFonts w:hint="default" w:ascii="Times New Roman" w:hAnsi="Times New Roman" w:eastAsia="仿宋_GB2312" w:cs="Times New Roman"/>
                <w:color w:val="auto"/>
                <w:w w:val="99"/>
                <w:sz w:val="21"/>
                <w:szCs w:val="21"/>
              </w:rPr>
              <w:t>年度预算申请</w:t>
            </w:r>
          </w:p>
          <w:p>
            <w:pPr>
              <w:spacing w:line="210" w:lineRule="exact"/>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w w:val="99"/>
                <w:sz w:val="21"/>
                <w:szCs w:val="21"/>
              </w:rPr>
              <w:t>（万元）</w:t>
            </w:r>
          </w:p>
        </w:tc>
        <w:tc>
          <w:tcPr>
            <w:tcW w:w="2250" w:type="dxa"/>
            <w:gridSpan w:val="2"/>
          </w:tcPr>
          <w:p>
            <w:pPr>
              <w:spacing w:line="0" w:lineRule="atLeast"/>
              <w:rPr>
                <w:rFonts w:hint="default" w:ascii="Times New Roman" w:hAnsi="Times New Roman" w:eastAsia="仿宋_GB2312" w:cs="Times New Roman"/>
                <w:color w:val="auto"/>
                <w:sz w:val="20"/>
                <w:szCs w:val="20"/>
              </w:rPr>
            </w:pPr>
          </w:p>
        </w:tc>
        <w:tc>
          <w:tcPr>
            <w:tcW w:w="1837" w:type="dxa"/>
            <w:vAlign w:val="bottom"/>
          </w:tcPr>
          <w:p>
            <w:pPr>
              <w:spacing w:line="200" w:lineRule="exact"/>
              <w:jc w:val="center"/>
              <w:rPr>
                <w:rFonts w:hint="default" w:ascii="Times New Roman" w:hAnsi="Times New Roman" w:eastAsia="仿宋_GB2312" w:cs="Times New Roman"/>
                <w:color w:val="auto"/>
                <w:sz w:val="20"/>
                <w:szCs w:val="20"/>
              </w:rPr>
            </w:pPr>
            <w:r>
              <w:rPr>
                <w:rFonts w:hint="default" w:ascii="Times New Roman" w:hAnsi="Times New Roman" w:eastAsia="仿宋_GB2312" w:cs="Times New Roman"/>
                <w:color w:val="auto"/>
                <w:w w:val="99"/>
                <w:sz w:val="20"/>
                <w:szCs w:val="20"/>
              </w:rPr>
              <w:t>年初</w:t>
            </w:r>
            <w:r>
              <w:rPr>
                <w:rFonts w:hint="default" w:ascii="Times New Roman" w:hAnsi="Times New Roman" w:eastAsia="仿宋_GB2312" w:cs="Times New Roman"/>
                <w:color w:val="auto"/>
                <w:sz w:val="20"/>
                <w:szCs w:val="20"/>
              </w:rPr>
              <w:t>预算数</w:t>
            </w:r>
          </w:p>
        </w:tc>
        <w:tc>
          <w:tcPr>
            <w:tcW w:w="900" w:type="dxa"/>
            <w:vAlign w:val="bottom"/>
          </w:tcPr>
          <w:p>
            <w:pPr>
              <w:spacing w:line="200" w:lineRule="exact"/>
              <w:jc w:val="center"/>
              <w:rPr>
                <w:rFonts w:hint="default" w:ascii="Times New Roman" w:hAnsi="Times New Roman" w:eastAsia="仿宋_GB2312" w:cs="Times New Roman"/>
                <w:color w:val="auto"/>
                <w:sz w:val="20"/>
                <w:szCs w:val="20"/>
              </w:rPr>
            </w:pPr>
            <w:r>
              <w:rPr>
                <w:rFonts w:hint="default" w:ascii="Times New Roman" w:hAnsi="Times New Roman" w:eastAsia="仿宋_GB2312" w:cs="Times New Roman"/>
                <w:color w:val="auto"/>
                <w:w w:val="99"/>
                <w:sz w:val="20"/>
                <w:szCs w:val="20"/>
              </w:rPr>
              <w:t>全年</w:t>
            </w:r>
            <w:r>
              <w:rPr>
                <w:rFonts w:hint="default" w:ascii="Times New Roman" w:hAnsi="Times New Roman" w:eastAsia="仿宋_GB2312" w:cs="Times New Roman"/>
                <w:color w:val="auto"/>
                <w:sz w:val="20"/>
                <w:szCs w:val="20"/>
              </w:rPr>
              <w:t>预算数</w:t>
            </w:r>
          </w:p>
        </w:tc>
        <w:tc>
          <w:tcPr>
            <w:tcW w:w="1000" w:type="dxa"/>
            <w:vAlign w:val="bottom"/>
          </w:tcPr>
          <w:p>
            <w:pPr>
              <w:spacing w:line="200" w:lineRule="exact"/>
              <w:jc w:val="center"/>
              <w:rPr>
                <w:rFonts w:hint="default" w:ascii="Times New Roman" w:hAnsi="Times New Roman" w:eastAsia="仿宋_GB2312" w:cs="Times New Roman"/>
                <w:color w:val="auto"/>
                <w:sz w:val="20"/>
                <w:szCs w:val="20"/>
              </w:rPr>
            </w:pPr>
            <w:r>
              <w:rPr>
                <w:rFonts w:hint="default" w:ascii="Times New Roman" w:hAnsi="Times New Roman" w:eastAsia="仿宋_GB2312" w:cs="Times New Roman"/>
                <w:color w:val="auto"/>
                <w:w w:val="99"/>
                <w:sz w:val="20"/>
                <w:szCs w:val="20"/>
              </w:rPr>
              <w:t>全年</w:t>
            </w:r>
            <w:r>
              <w:rPr>
                <w:rFonts w:hint="default" w:ascii="Times New Roman" w:hAnsi="Times New Roman" w:eastAsia="仿宋_GB2312" w:cs="Times New Roman"/>
                <w:color w:val="auto"/>
                <w:w w:val="98"/>
                <w:sz w:val="20"/>
                <w:szCs w:val="20"/>
              </w:rPr>
              <w:t>执行数</w:t>
            </w:r>
          </w:p>
        </w:tc>
        <w:tc>
          <w:tcPr>
            <w:tcW w:w="600" w:type="dxa"/>
            <w:vAlign w:val="bottom"/>
          </w:tcPr>
          <w:p>
            <w:pPr>
              <w:spacing w:line="240" w:lineRule="exact"/>
              <w:jc w:val="center"/>
              <w:rPr>
                <w:rFonts w:hint="default" w:ascii="Times New Roman" w:hAnsi="Times New Roman" w:eastAsia="仿宋_GB2312" w:cs="Times New Roman"/>
                <w:color w:val="auto"/>
                <w:sz w:val="20"/>
                <w:szCs w:val="20"/>
              </w:rPr>
            </w:pPr>
            <w:r>
              <w:rPr>
                <w:rFonts w:hint="default" w:ascii="Times New Roman" w:hAnsi="Times New Roman" w:eastAsia="仿宋_GB2312" w:cs="Times New Roman"/>
                <w:color w:val="auto"/>
                <w:w w:val="99"/>
                <w:sz w:val="20"/>
                <w:szCs w:val="20"/>
              </w:rPr>
              <w:t>分值</w:t>
            </w:r>
          </w:p>
        </w:tc>
        <w:tc>
          <w:tcPr>
            <w:tcW w:w="600" w:type="dxa"/>
            <w:vAlign w:val="bottom"/>
          </w:tcPr>
          <w:p>
            <w:pPr>
              <w:spacing w:line="240" w:lineRule="exact"/>
              <w:jc w:val="center"/>
              <w:rPr>
                <w:rFonts w:hint="default" w:ascii="Times New Roman" w:hAnsi="Times New Roman" w:eastAsia="仿宋_GB2312" w:cs="Times New Roman"/>
                <w:color w:val="auto"/>
                <w:sz w:val="20"/>
                <w:szCs w:val="20"/>
              </w:rPr>
            </w:pPr>
            <w:r>
              <w:rPr>
                <w:rFonts w:hint="default" w:ascii="Times New Roman" w:hAnsi="Times New Roman" w:eastAsia="仿宋_GB2312" w:cs="Times New Roman"/>
                <w:color w:val="auto"/>
                <w:sz w:val="20"/>
                <w:szCs w:val="20"/>
              </w:rPr>
              <w:t>执行率</w:t>
            </w:r>
          </w:p>
        </w:tc>
        <w:tc>
          <w:tcPr>
            <w:tcW w:w="1529" w:type="dxa"/>
            <w:vAlign w:val="bottom"/>
          </w:tcPr>
          <w:p>
            <w:pPr>
              <w:spacing w:line="240" w:lineRule="exact"/>
              <w:jc w:val="center"/>
              <w:rPr>
                <w:rFonts w:hint="default" w:ascii="Times New Roman" w:hAnsi="Times New Roman" w:eastAsia="仿宋_GB2312" w:cs="Times New Roman"/>
                <w:color w:val="auto"/>
                <w:sz w:val="20"/>
                <w:szCs w:val="20"/>
              </w:rPr>
            </w:pPr>
            <w:r>
              <w:rPr>
                <w:rFonts w:hint="default" w:ascii="Times New Roman" w:hAnsi="Times New Roman" w:eastAsia="仿宋_GB2312" w:cs="Times New Roman"/>
                <w:color w:val="auto"/>
                <w:w w:val="99"/>
                <w:sz w:val="20"/>
                <w:szCs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069" w:type="dxa"/>
            <w:vMerge w:val="continue"/>
            <w:vAlign w:val="bottom"/>
          </w:tcPr>
          <w:p>
            <w:pPr>
              <w:spacing w:line="210" w:lineRule="exact"/>
              <w:jc w:val="center"/>
              <w:rPr>
                <w:rFonts w:hint="default" w:ascii="Times New Roman" w:hAnsi="Times New Roman" w:eastAsia="仿宋_GB2312" w:cs="Times New Roman"/>
                <w:color w:val="auto"/>
                <w:w w:val="99"/>
                <w:sz w:val="21"/>
                <w:szCs w:val="21"/>
              </w:rPr>
            </w:pPr>
          </w:p>
        </w:tc>
        <w:tc>
          <w:tcPr>
            <w:tcW w:w="2250" w:type="dxa"/>
            <w:gridSpan w:val="2"/>
          </w:tcPr>
          <w:p>
            <w:pPr>
              <w:spacing w:line="0" w:lineRule="atLeast"/>
              <w:rPr>
                <w:rFonts w:hint="default" w:ascii="Times New Roman" w:hAnsi="Times New Roman" w:eastAsia="仿宋_GB2312" w:cs="Times New Roman"/>
                <w:color w:val="auto"/>
                <w:sz w:val="20"/>
                <w:szCs w:val="20"/>
              </w:rPr>
            </w:pPr>
            <w:r>
              <w:rPr>
                <w:rFonts w:hint="default" w:ascii="Times New Roman" w:hAnsi="Times New Roman" w:eastAsia="仿宋_GB2312" w:cs="Times New Roman"/>
                <w:color w:val="auto"/>
                <w:sz w:val="20"/>
                <w:szCs w:val="20"/>
              </w:rPr>
              <w:t>年度资金总额</w:t>
            </w:r>
          </w:p>
        </w:tc>
        <w:tc>
          <w:tcPr>
            <w:tcW w:w="1837" w:type="dxa"/>
            <w:vAlign w:val="center"/>
          </w:tcPr>
          <w:p>
            <w:pPr>
              <w:spacing w:line="240" w:lineRule="exact"/>
              <w:rPr>
                <w:rFonts w:hint="default" w:ascii="Times New Roman" w:hAnsi="Times New Roman" w:eastAsia="仿宋_GB2312" w:cs="Times New Roman"/>
                <w:color w:val="auto"/>
                <w:w w:val="99"/>
                <w:sz w:val="16"/>
                <w:szCs w:val="16"/>
              </w:rPr>
            </w:pPr>
            <w:r>
              <w:rPr>
                <w:rFonts w:hint="default" w:ascii="Times New Roman" w:hAnsi="Times New Roman" w:eastAsia="仿宋_GB2312" w:cs="Times New Roman"/>
                <w:color w:val="auto"/>
                <w:w w:val="99"/>
                <w:sz w:val="21"/>
                <w:szCs w:val="21"/>
              </w:rPr>
              <w:t>389.8</w:t>
            </w:r>
          </w:p>
        </w:tc>
        <w:tc>
          <w:tcPr>
            <w:tcW w:w="900" w:type="dxa"/>
            <w:vAlign w:val="center"/>
          </w:tcPr>
          <w:p>
            <w:pPr>
              <w:spacing w:line="240" w:lineRule="exact"/>
              <w:jc w:val="center"/>
              <w:rPr>
                <w:rFonts w:hint="default" w:ascii="Times New Roman" w:hAnsi="Times New Roman" w:eastAsia="仿宋_GB2312" w:cs="Times New Roman"/>
                <w:color w:val="auto"/>
                <w:w w:val="99"/>
                <w:sz w:val="16"/>
                <w:szCs w:val="16"/>
              </w:rPr>
            </w:pPr>
            <w:r>
              <w:rPr>
                <w:rFonts w:hint="default" w:ascii="Times New Roman" w:hAnsi="Times New Roman" w:eastAsia="仿宋_GB2312" w:cs="Times New Roman"/>
                <w:color w:val="auto"/>
                <w:sz w:val="20"/>
                <w:szCs w:val="20"/>
              </w:rPr>
              <w:t>425.11</w:t>
            </w:r>
          </w:p>
        </w:tc>
        <w:tc>
          <w:tcPr>
            <w:tcW w:w="1000" w:type="dxa"/>
            <w:vAlign w:val="center"/>
          </w:tcPr>
          <w:p>
            <w:pPr>
              <w:spacing w:line="240" w:lineRule="exact"/>
              <w:jc w:val="center"/>
              <w:rPr>
                <w:rFonts w:hint="default" w:ascii="Times New Roman" w:hAnsi="Times New Roman" w:eastAsia="仿宋_GB2312" w:cs="Times New Roman"/>
                <w:color w:val="auto"/>
                <w:w w:val="99"/>
                <w:sz w:val="16"/>
                <w:szCs w:val="16"/>
              </w:rPr>
            </w:pPr>
            <w:r>
              <w:rPr>
                <w:rFonts w:hint="default" w:ascii="Times New Roman" w:hAnsi="Times New Roman" w:eastAsia="仿宋_GB2312" w:cs="Times New Roman"/>
                <w:color w:val="auto"/>
                <w:sz w:val="20"/>
                <w:szCs w:val="20"/>
              </w:rPr>
              <w:t>415.76</w:t>
            </w:r>
          </w:p>
        </w:tc>
        <w:tc>
          <w:tcPr>
            <w:tcW w:w="600" w:type="dxa"/>
            <w:vAlign w:val="center"/>
          </w:tcPr>
          <w:p>
            <w:pPr>
              <w:spacing w:line="240" w:lineRule="exact"/>
              <w:jc w:val="center"/>
              <w:rPr>
                <w:rFonts w:hint="default" w:ascii="Times New Roman" w:hAnsi="Times New Roman" w:eastAsia="仿宋_GB2312" w:cs="Times New Roman"/>
                <w:color w:val="auto"/>
                <w:w w:val="99"/>
                <w:sz w:val="16"/>
                <w:szCs w:val="16"/>
              </w:rPr>
            </w:pPr>
            <w:r>
              <w:rPr>
                <w:rFonts w:hint="default" w:ascii="Times New Roman" w:hAnsi="Times New Roman" w:eastAsia="仿宋_GB2312" w:cs="Times New Roman"/>
                <w:color w:val="auto"/>
                <w:sz w:val="20"/>
                <w:szCs w:val="20"/>
              </w:rPr>
              <w:t>10</w:t>
            </w:r>
          </w:p>
        </w:tc>
        <w:tc>
          <w:tcPr>
            <w:tcW w:w="600" w:type="dxa"/>
            <w:vAlign w:val="center"/>
          </w:tcPr>
          <w:p>
            <w:pPr>
              <w:spacing w:line="240" w:lineRule="exact"/>
              <w:jc w:val="center"/>
              <w:rPr>
                <w:rFonts w:hint="default" w:ascii="Times New Roman" w:hAnsi="Times New Roman" w:eastAsia="仿宋_GB2312" w:cs="Times New Roman"/>
                <w:color w:val="auto"/>
                <w:sz w:val="16"/>
                <w:szCs w:val="16"/>
              </w:rPr>
            </w:pPr>
            <w:r>
              <w:rPr>
                <w:rFonts w:hint="default" w:ascii="Times New Roman" w:hAnsi="Times New Roman" w:eastAsia="仿宋_GB2312" w:cs="Times New Roman"/>
                <w:color w:val="auto"/>
                <w:sz w:val="20"/>
                <w:szCs w:val="20"/>
              </w:rPr>
              <w:t>98%</w:t>
            </w:r>
          </w:p>
        </w:tc>
        <w:tc>
          <w:tcPr>
            <w:tcW w:w="1529" w:type="dxa"/>
            <w:vAlign w:val="center"/>
          </w:tcPr>
          <w:p>
            <w:pPr>
              <w:spacing w:line="240" w:lineRule="exact"/>
              <w:jc w:val="center"/>
              <w:rPr>
                <w:rFonts w:hint="default" w:ascii="Times New Roman" w:hAnsi="Times New Roman" w:eastAsia="仿宋_GB2312" w:cs="Times New Roman"/>
                <w:color w:val="auto"/>
                <w:w w:val="99"/>
                <w:sz w:val="16"/>
                <w:szCs w:val="16"/>
              </w:rPr>
            </w:pPr>
            <w:r>
              <w:rPr>
                <w:rFonts w:hint="default" w:ascii="Times New Roman" w:hAnsi="Times New Roman" w:eastAsia="仿宋_GB2312" w:cs="Times New Roman"/>
                <w:color w:val="auto"/>
                <w:sz w:val="20"/>
                <w:szCs w:val="20"/>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1069" w:type="dxa"/>
            <w:vMerge w:val="continue"/>
          </w:tcPr>
          <w:p>
            <w:pPr>
              <w:spacing w:line="0" w:lineRule="atLeast"/>
              <w:rPr>
                <w:rFonts w:hint="default" w:ascii="Times New Roman" w:hAnsi="Times New Roman" w:eastAsia="仿宋_GB2312" w:cs="Times New Roman"/>
                <w:color w:val="auto"/>
                <w:sz w:val="21"/>
                <w:szCs w:val="21"/>
              </w:rPr>
            </w:pPr>
          </w:p>
        </w:tc>
        <w:tc>
          <w:tcPr>
            <w:tcW w:w="4987" w:type="dxa"/>
            <w:gridSpan w:val="4"/>
          </w:tcPr>
          <w:p>
            <w:pPr>
              <w:spacing w:line="240" w:lineRule="exact"/>
              <w:rPr>
                <w:rFonts w:hint="default" w:ascii="Times New Roman" w:hAnsi="Times New Roman" w:eastAsia="仿宋_GB2312" w:cs="Times New Roman"/>
                <w:color w:val="auto"/>
                <w:sz w:val="20"/>
                <w:szCs w:val="20"/>
              </w:rPr>
            </w:pPr>
            <w:r>
              <w:rPr>
                <w:rFonts w:hint="default" w:ascii="Times New Roman" w:hAnsi="Times New Roman" w:eastAsia="仿宋_GB2312" w:cs="Times New Roman"/>
                <w:color w:val="auto"/>
                <w:sz w:val="20"/>
                <w:szCs w:val="20"/>
              </w:rPr>
              <w:t>按收入性质分：425.11</w:t>
            </w:r>
          </w:p>
        </w:tc>
        <w:tc>
          <w:tcPr>
            <w:tcW w:w="3729" w:type="dxa"/>
            <w:gridSpan w:val="4"/>
          </w:tcPr>
          <w:p>
            <w:pPr>
              <w:spacing w:line="0" w:lineRule="atLeast"/>
              <w:ind w:firstLine="200" w:firstLineChars="100"/>
              <w:rPr>
                <w:rFonts w:hint="default" w:ascii="Times New Roman" w:hAnsi="Times New Roman" w:eastAsia="仿宋_GB2312" w:cs="Times New Roman"/>
                <w:color w:val="auto"/>
                <w:sz w:val="20"/>
                <w:szCs w:val="20"/>
              </w:rPr>
            </w:pPr>
            <w:r>
              <w:rPr>
                <w:rFonts w:hint="default" w:ascii="Times New Roman" w:hAnsi="Times New Roman" w:eastAsia="仿宋_GB2312" w:cs="Times New Roman"/>
                <w:color w:val="auto"/>
                <w:sz w:val="20"/>
                <w:szCs w:val="20"/>
              </w:rPr>
              <w:t>按支出性质分：415.76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1069" w:type="dxa"/>
            <w:vMerge w:val="continue"/>
          </w:tcPr>
          <w:p>
            <w:pPr>
              <w:spacing w:line="0" w:lineRule="atLeast"/>
              <w:rPr>
                <w:rFonts w:hint="default" w:ascii="Times New Roman" w:hAnsi="Times New Roman" w:eastAsia="仿宋_GB2312" w:cs="Times New Roman"/>
                <w:color w:val="auto"/>
                <w:sz w:val="21"/>
                <w:szCs w:val="21"/>
              </w:rPr>
            </w:pPr>
          </w:p>
        </w:tc>
        <w:tc>
          <w:tcPr>
            <w:tcW w:w="4987" w:type="dxa"/>
            <w:gridSpan w:val="4"/>
          </w:tcPr>
          <w:p>
            <w:pPr>
              <w:spacing w:line="0" w:lineRule="atLeast"/>
              <w:ind w:firstLine="400" w:firstLineChars="200"/>
              <w:rPr>
                <w:rFonts w:hint="default" w:ascii="Times New Roman" w:hAnsi="Times New Roman" w:eastAsia="仿宋_GB2312" w:cs="Times New Roman"/>
                <w:color w:val="auto"/>
                <w:sz w:val="20"/>
                <w:szCs w:val="20"/>
              </w:rPr>
            </w:pPr>
            <w:r>
              <w:rPr>
                <w:rFonts w:hint="default" w:ascii="Times New Roman" w:hAnsi="Times New Roman" w:eastAsia="仿宋_GB2312" w:cs="Times New Roman"/>
                <w:color w:val="auto"/>
                <w:sz w:val="20"/>
                <w:szCs w:val="20"/>
              </w:rPr>
              <w:t>其中：一般公共预算：425.11</w:t>
            </w:r>
          </w:p>
        </w:tc>
        <w:tc>
          <w:tcPr>
            <w:tcW w:w="3729" w:type="dxa"/>
            <w:gridSpan w:val="4"/>
          </w:tcPr>
          <w:p>
            <w:pPr>
              <w:spacing w:line="0" w:lineRule="atLeast"/>
              <w:rPr>
                <w:rFonts w:hint="default" w:ascii="Times New Roman" w:hAnsi="Times New Roman" w:eastAsia="仿宋_GB2312" w:cs="Times New Roman"/>
                <w:color w:val="auto"/>
                <w:sz w:val="20"/>
                <w:szCs w:val="20"/>
              </w:rPr>
            </w:pPr>
            <w:r>
              <w:rPr>
                <w:rFonts w:hint="default" w:ascii="Times New Roman" w:hAnsi="Times New Roman" w:eastAsia="仿宋_GB2312" w:cs="Times New Roman"/>
                <w:color w:val="auto"/>
                <w:sz w:val="20"/>
                <w:szCs w:val="20"/>
              </w:rPr>
              <w:t>其中：基本支出：404.81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1069" w:type="dxa"/>
            <w:vMerge w:val="continue"/>
          </w:tcPr>
          <w:p>
            <w:pPr>
              <w:spacing w:line="0" w:lineRule="atLeast"/>
              <w:rPr>
                <w:rFonts w:hint="default" w:ascii="Times New Roman" w:hAnsi="Times New Roman" w:eastAsia="仿宋_GB2312" w:cs="Times New Roman"/>
                <w:color w:val="auto"/>
                <w:sz w:val="21"/>
                <w:szCs w:val="21"/>
              </w:rPr>
            </w:pPr>
          </w:p>
        </w:tc>
        <w:tc>
          <w:tcPr>
            <w:tcW w:w="4987" w:type="dxa"/>
            <w:gridSpan w:val="4"/>
          </w:tcPr>
          <w:p>
            <w:pPr>
              <w:spacing w:line="0" w:lineRule="atLeast"/>
              <w:ind w:firstLine="800" w:firstLineChars="400"/>
              <w:rPr>
                <w:rFonts w:hint="default" w:ascii="Times New Roman" w:hAnsi="Times New Roman" w:eastAsia="仿宋_GB2312" w:cs="Times New Roman"/>
                <w:color w:val="auto"/>
                <w:sz w:val="20"/>
                <w:szCs w:val="20"/>
              </w:rPr>
            </w:pPr>
            <w:r>
              <w:rPr>
                <w:rFonts w:hint="default" w:ascii="Times New Roman" w:hAnsi="Times New Roman" w:eastAsia="仿宋_GB2312" w:cs="Times New Roman"/>
                <w:color w:val="auto"/>
                <w:sz w:val="20"/>
                <w:szCs w:val="20"/>
              </w:rPr>
              <w:t>政府性基金拨款：</w:t>
            </w:r>
          </w:p>
        </w:tc>
        <w:tc>
          <w:tcPr>
            <w:tcW w:w="3729" w:type="dxa"/>
            <w:gridSpan w:val="4"/>
          </w:tcPr>
          <w:p>
            <w:pPr>
              <w:spacing w:line="0" w:lineRule="atLeast"/>
              <w:ind w:firstLine="600" w:firstLineChars="300"/>
              <w:rPr>
                <w:rFonts w:hint="default" w:ascii="Times New Roman" w:hAnsi="Times New Roman" w:eastAsia="仿宋_GB2312" w:cs="Times New Roman"/>
                <w:color w:val="auto"/>
                <w:sz w:val="20"/>
                <w:szCs w:val="20"/>
              </w:rPr>
            </w:pPr>
            <w:r>
              <w:rPr>
                <w:rFonts w:hint="default" w:ascii="Times New Roman" w:hAnsi="Times New Roman" w:eastAsia="仿宋_GB2312" w:cs="Times New Roman"/>
                <w:color w:val="auto"/>
                <w:sz w:val="20"/>
                <w:szCs w:val="20"/>
              </w:rPr>
              <w:t>项目支出：10.95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1069" w:type="dxa"/>
            <w:vMerge w:val="continue"/>
          </w:tcPr>
          <w:p>
            <w:pPr>
              <w:spacing w:line="0" w:lineRule="atLeast"/>
              <w:rPr>
                <w:rFonts w:hint="default" w:ascii="Times New Roman" w:hAnsi="Times New Roman" w:eastAsia="仿宋_GB2312" w:cs="Times New Roman"/>
                <w:color w:val="auto"/>
                <w:sz w:val="21"/>
                <w:szCs w:val="21"/>
              </w:rPr>
            </w:pPr>
          </w:p>
        </w:tc>
        <w:tc>
          <w:tcPr>
            <w:tcW w:w="4987" w:type="dxa"/>
            <w:gridSpan w:val="4"/>
          </w:tcPr>
          <w:p>
            <w:pPr>
              <w:spacing w:line="0" w:lineRule="atLeast"/>
              <w:rPr>
                <w:rFonts w:hint="default" w:ascii="Times New Roman" w:hAnsi="Times New Roman" w:eastAsia="仿宋_GB2312" w:cs="Times New Roman"/>
                <w:color w:val="auto"/>
                <w:sz w:val="20"/>
                <w:szCs w:val="20"/>
              </w:rPr>
            </w:pPr>
            <w:r>
              <w:rPr>
                <w:rFonts w:hint="default" w:ascii="Times New Roman" w:hAnsi="Times New Roman" w:eastAsia="仿宋_GB2312" w:cs="Times New Roman"/>
                <w:color w:val="auto"/>
                <w:sz w:val="20"/>
                <w:szCs w:val="20"/>
              </w:rPr>
              <w:t>纳入专户管理的非税收入拨款：</w:t>
            </w:r>
          </w:p>
        </w:tc>
        <w:tc>
          <w:tcPr>
            <w:tcW w:w="3729" w:type="dxa"/>
            <w:gridSpan w:val="4"/>
          </w:tcPr>
          <w:p>
            <w:pPr>
              <w:spacing w:line="0" w:lineRule="atLeast"/>
              <w:rPr>
                <w:rFonts w:hint="default" w:ascii="Times New Roman" w:hAnsi="Times New Roman" w:eastAsia="仿宋_GB2312"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1069" w:type="dxa"/>
            <w:vMerge w:val="continue"/>
          </w:tcPr>
          <w:p>
            <w:pPr>
              <w:spacing w:line="0" w:lineRule="atLeast"/>
              <w:rPr>
                <w:rFonts w:hint="default" w:ascii="Times New Roman" w:hAnsi="Times New Roman" w:eastAsia="仿宋_GB2312" w:cs="Times New Roman"/>
                <w:color w:val="auto"/>
                <w:sz w:val="21"/>
                <w:szCs w:val="21"/>
              </w:rPr>
            </w:pPr>
          </w:p>
        </w:tc>
        <w:tc>
          <w:tcPr>
            <w:tcW w:w="4987" w:type="dxa"/>
            <w:gridSpan w:val="4"/>
          </w:tcPr>
          <w:p>
            <w:pPr>
              <w:spacing w:line="0" w:lineRule="atLeast"/>
              <w:ind w:firstLine="1400" w:firstLineChars="700"/>
              <w:rPr>
                <w:rFonts w:hint="default" w:ascii="Times New Roman" w:hAnsi="Times New Roman" w:eastAsia="仿宋_GB2312" w:cs="Times New Roman"/>
                <w:color w:val="auto"/>
                <w:sz w:val="20"/>
                <w:szCs w:val="20"/>
              </w:rPr>
            </w:pPr>
            <w:r>
              <w:rPr>
                <w:rFonts w:hint="default" w:ascii="Times New Roman" w:hAnsi="Times New Roman" w:eastAsia="仿宋_GB2312" w:cs="Times New Roman"/>
                <w:color w:val="auto"/>
                <w:sz w:val="20"/>
                <w:szCs w:val="20"/>
              </w:rPr>
              <w:t>其他资金：</w:t>
            </w:r>
          </w:p>
        </w:tc>
        <w:tc>
          <w:tcPr>
            <w:tcW w:w="3729" w:type="dxa"/>
            <w:gridSpan w:val="4"/>
          </w:tcPr>
          <w:p>
            <w:pPr>
              <w:spacing w:line="0" w:lineRule="atLeast"/>
              <w:rPr>
                <w:rFonts w:hint="default" w:ascii="Times New Roman" w:hAnsi="Times New Roman" w:eastAsia="仿宋_GB2312"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1069" w:type="dxa"/>
            <w:vMerge w:val="restart"/>
            <w:vAlign w:val="bottom"/>
          </w:tcPr>
          <w:p>
            <w:pPr>
              <w:spacing w:line="206" w:lineRule="exact"/>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w w:val="99"/>
                <w:sz w:val="21"/>
                <w:szCs w:val="21"/>
              </w:rPr>
              <w:t>年度总体目标</w:t>
            </w:r>
          </w:p>
        </w:tc>
        <w:tc>
          <w:tcPr>
            <w:tcW w:w="4987" w:type="dxa"/>
            <w:gridSpan w:val="4"/>
            <w:vAlign w:val="center"/>
          </w:tcPr>
          <w:p>
            <w:pPr>
              <w:spacing w:line="0" w:lineRule="atLeast"/>
              <w:jc w:val="center"/>
              <w:rPr>
                <w:rFonts w:hint="default" w:ascii="Times New Roman" w:hAnsi="Times New Roman" w:eastAsia="仿宋_GB2312" w:cs="Times New Roman"/>
                <w:color w:val="auto"/>
                <w:sz w:val="20"/>
                <w:szCs w:val="20"/>
              </w:rPr>
            </w:pPr>
            <w:r>
              <w:rPr>
                <w:rFonts w:hint="default" w:ascii="Times New Roman" w:hAnsi="Times New Roman" w:eastAsia="仿宋_GB2312" w:cs="Times New Roman"/>
                <w:color w:val="auto"/>
                <w:w w:val="99"/>
                <w:sz w:val="22"/>
                <w:szCs w:val="22"/>
              </w:rPr>
              <w:t>预期目标</w:t>
            </w:r>
          </w:p>
        </w:tc>
        <w:tc>
          <w:tcPr>
            <w:tcW w:w="3729" w:type="dxa"/>
            <w:gridSpan w:val="4"/>
            <w:vAlign w:val="center"/>
          </w:tcPr>
          <w:p>
            <w:pPr>
              <w:spacing w:line="0" w:lineRule="atLeast"/>
              <w:jc w:val="center"/>
              <w:rPr>
                <w:rFonts w:hint="default" w:ascii="Times New Roman" w:hAnsi="Times New Roman" w:eastAsia="仿宋_GB2312" w:cs="Times New Roman"/>
                <w:color w:val="auto"/>
                <w:sz w:val="20"/>
                <w:szCs w:val="20"/>
              </w:rPr>
            </w:pPr>
            <w:r>
              <w:rPr>
                <w:rFonts w:hint="default" w:ascii="Times New Roman" w:hAnsi="Times New Roman" w:eastAsia="仿宋_GB2312" w:cs="Times New Roman"/>
                <w:color w:val="auto"/>
                <w:sz w:val="20"/>
                <w:szCs w:val="20"/>
              </w:rPr>
              <w:t>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1069" w:type="dxa"/>
            <w:vMerge w:val="continue"/>
            <w:vAlign w:val="bottom"/>
          </w:tcPr>
          <w:p>
            <w:pPr>
              <w:spacing w:line="199" w:lineRule="exact"/>
              <w:jc w:val="center"/>
              <w:rPr>
                <w:rFonts w:hint="default" w:ascii="Times New Roman" w:hAnsi="Times New Roman" w:eastAsia="仿宋_GB2312" w:cs="Times New Roman"/>
                <w:color w:val="auto"/>
                <w:sz w:val="21"/>
                <w:szCs w:val="21"/>
              </w:rPr>
            </w:pPr>
          </w:p>
        </w:tc>
        <w:tc>
          <w:tcPr>
            <w:tcW w:w="4987" w:type="dxa"/>
            <w:gridSpan w:val="4"/>
          </w:tcPr>
          <w:p>
            <w:pPr>
              <w:numPr>
                <w:ilvl w:val="0"/>
                <w:numId w:val="7"/>
              </w:numPr>
              <w:spacing w:line="0" w:lineRule="atLeast"/>
              <w:rPr>
                <w:rFonts w:hint="default" w:ascii="Times New Roman" w:hAnsi="Times New Roman" w:eastAsia="仿宋_GB2312" w:cs="Times New Roman"/>
                <w:color w:val="auto"/>
                <w:sz w:val="20"/>
                <w:szCs w:val="20"/>
              </w:rPr>
            </w:pPr>
            <w:r>
              <w:rPr>
                <w:rFonts w:hint="default" w:ascii="Times New Roman" w:hAnsi="Times New Roman" w:eastAsia="仿宋_GB2312" w:cs="Times New Roman"/>
                <w:color w:val="auto"/>
                <w:sz w:val="20"/>
                <w:szCs w:val="20"/>
              </w:rPr>
              <w:t>实现全年“零停播”</w:t>
            </w:r>
          </w:p>
          <w:p>
            <w:pPr>
              <w:numPr>
                <w:ilvl w:val="0"/>
                <w:numId w:val="7"/>
              </w:numPr>
              <w:spacing w:line="0" w:lineRule="atLeast"/>
              <w:rPr>
                <w:rFonts w:hint="default" w:ascii="Times New Roman" w:hAnsi="Times New Roman" w:eastAsia="仿宋_GB2312" w:cs="Times New Roman"/>
                <w:color w:val="auto"/>
                <w:sz w:val="20"/>
                <w:szCs w:val="20"/>
              </w:rPr>
            </w:pPr>
            <w:r>
              <w:rPr>
                <w:rFonts w:hint="default" w:ascii="Times New Roman" w:hAnsi="Times New Roman" w:eastAsia="仿宋_GB2312" w:cs="Times New Roman"/>
                <w:color w:val="auto"/>
                <w:sz w:val="20"/>
                <w:szCs w:val="20"/>
              </w:rPr>
              <w:t>完成2座铁塔安装</w:t>
            </w:r>
          </w:p>
          <w:p>
            <w:pPr>
              <w:spacing w:line="0" w:lineRule="atLeast"/>
              <w:rPr>
                <w:rFonts w:hint="default" w:ascii="Times New Roman" w:hAnsi="Times New Roman" w:eastAsia="仿宋_GB2312" w:cs="Times New Roman"/>
                <w:color w:val="auto"/>
                <w:sz w:val="20"/>
                <w:szCs w:val="20"/>
              </w:rPr>
            </w:pPr>
            <w:r>
              <w:rPr>
                <w:rFonts w:hint="default" w:ascii="Times New Roman" w:hAnsi="Times New Roman" w:eastAsia="仿宋_GB2312" w:cs="Times New Roman"/>
                <w:color w:val="auto"/>
                <w:sz w:val="20"/>
                <w:szCs w:val="20"/>
              </w:rPr>
              <w:t>3.组织培训</w:t>
            </w:r>
          </w:p>
        </w:tc>
        <w:tc>
          <w:tcPr>
            <w:tcW w:w="3729" w:type="dxa"/>
            <w:gridSpan w:val="4"/>
          </w:tcPr>
          <w:p>
            <w:pPr>
              <w:spacing w:line="0" w:lineRule="atLeast"/>
              <w:rPr>
                <w:rFonts w:hint="default" w:ascii="Times New Roman" w:hAnsi="Times New Roman" w:eastAsia="仿宋_GB2312" w:cs="Times New Roman"/>
                <w:color w:val="auto"/>
                <w:sz w:val="20"/>
                <w:szCs w:val="20"/>
              </w:rPr>
            </w:pPr>
            <w:r>
              <w:rPr>
                <w:rFonts w:hint="default" w:ascii="Times New Roman" w:hAnsi="Times New Roman" w:eastAsia="仿宋_GB2312" w:cs="Times New Roman"/>
                <w:color w:val="auto"/>
                <w:kern w:val="0"/>
                <w:sz w:val="22"/>
                <w:szCs w:val="22"/>
              </w:rPr>
              <w:t>1.</w:t>
            </w:r>
            <w:r>
              <w:rPr>
                <w:rFonts w:hint="default" w:ascii="Times New Roman" w:hAnsi="Times New Roman" w:eastAsia="仿宋_GB2312" w:cs="Times New Roman"/>
                <w:color w:val="auto"/>
                <w:sz w:val="20"/>
                <w:szCs w:val="20"/>
              </w:rPr>
              <w:t>全年安全播出无事故，实现了满功率、满调幅度、满时间播出</w:t>
            </w:r>
          </w:p>
          <w:p>
            <w:pPr>
              <w:spacing w:line="0" w:lineRule="atLeast"/>
              <w:rPr>
                <w:rFonts w:hint="default" w:ascii="Times New Roman" w:hAnsi="Times New Roman" w:eastAsia="仿宋_GB2312" w:cs="Times New Roman"/>
                <w:color w:val="auto"/>
                <w:sz w:val="20"/>
                <w:szCs w:val="20"/>
              </w:rPr>
            </w:pPr>
            <w:r>
              <w:rPr>
                <w:rFonts w:hint="default" w:ascii="Times New Roman" w:hAnsi="Times New Roman" w:eastAsia="仿宋_GB2312" w:cs="Times New Roman"/>
                <w:color w:val="auto"/>
                <w:sz w:val="20"/>
                <w:szCs w:val="20"/>
              </w:rPr>
              <w:t>2.完成2座铁塔建成</w:t>
            </w:r>
          </w:p>
          <w:p>
            <w:pPr>
              <w:spacing w:line="0" w:lineRule="atLeast"/>
              <w:rPr>
                <w:rFonts w:hint="default" w:ascii="Times New Roman" w:hAnsi="Times New Roman" w:eastAsia="仿宋_GB2312" w:cs="Times New Roman"/>
                <w:color w:val="auto"/>
                <w:sz w:val="20"/>
                <w:szCs w:val="20"/>
              </w:rPr>
            </w:pPr>
            <w:r>
              <w:rPr>
                <w:rFonts w:hint="default" w:ascii="Times New Roman" w:hAnsi="Times New Roman" w:eastAsia="仿宋_GB2312" w:cs="Times New Roman"/>
                <w:color w:val="auto"/>
                <w:sz w:val="20"/>
                <w:szCs w:val="20"/>
              </w:rPr>
              <w:t>3.参加上级安排的培训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9" w:type="dxa"/>
            <w:vMerge w:val="restart"/>
            <w:vAlign w:val="center"/>
          </w:tcPr>
          <w:p>
            <w:pPr>
              <w:spacing w:line="240" w:lineRule="exact"/>
              <w:ind w:firstLine="420" w:firstLineChars="200"/>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绩</w:t>
            </w:r>
          </w:p>
          <w:p>
            <w:pPr>
              <w:spacing w:line="240" w:lineRule="exact"/>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 xml:space="preserve"> 效</w:t>
            </w:r>
          </w:p>
          <w:p>
            <w:pPr>
              <w:spacing w:line="240" w:lineRule="exact"/>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 xml:space="preserve"> 指</w:t>
            </w:r>
          </w:p>
          <w:p>
            <w:pPr>
              <w:spacing w:line="240" w:lineRule="exact"/>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 xml:space="preserve"> 标</w:t>
            </w:r>
          </w:p>
        </w:tc>
        <w:tc>
          <w:tcPr>
            <w:tcW w:w="1212" w:type="dxa"/>
            <w:vAlign w:val="bottom"/>
          </w:tcPr>
          <w:p>
            <w:pPr>
              <w:spacing w:line="223" w:lineRule="exact"/>
              <w:jc w:val="center"/>
              <w:rPr>
                <w:rFonts w:hint="default" w:ascii="Times New Roman" w:hAnsi="Times New Roman" w:eastAsia="仿宋_GB2312" w:cs="Times New Roman"/>
                <w:color w:val="auto"/>
                <w:sz w:val="20"/>
                <w:szCs w:val="20"/>
              </w:rPr>
            </w:pPr>
            <w:r>
              <w:rPr>
                <w:rFonts w:hint="default" w:ascii="Times New Roman" w:hAnsi="Times New Roman" w:eastAsia="仿宋_GB2312" w:cs="Times New Roman"/>
                <w:color w:val="auto"/>
                <w:w w:val="99"/>
                <w:sz w:val="20"/>
                <w:szCs w:val="20"/>
              </w:rPr>
              <w:t>一级指标</w:t>
            </w:r>
          </w:p>
        </w:tc>
        <w:tc>
          <w:tcPr>
            <w:tcW w:w="1038" w:type="dxa"/>
            <w:vAlign w:val="bottom"/>
          </w:tcPr>
          <w:p>
            <w:pPr>
              <w:spacing w:line="223" w:lineRule="exact"/>
              <w:jc w:val="center"/>
              <w:rPr>
                <w:rFonts w:hint="default" w:ascii="Times New Roman" w:hAnsi="Times New Roman" w:eastAsia="仿宋_GB2312" w:cs="Times New Roman"/>
                <w:color w:val="auto"/>
                <w:sz w:val="20"/>
                <w:szCs w:val="20"/>
              </w:rPr>
            </w:pPr>
            <w:r>
              <w:rPr>
                <w:rFonts w:hint="default" w:ascii="Times New Roman" w:hAnsi="Times New Roman" w:eastAsia="仿宋_GB2312" w:cs="Times New Roman"/>
                <w:color w:val="auto"/>
                <w:w w:val="99"/>
                <w:sz w:val="20"/>
                <w:szCs w:val="20"/>
              </w:rPr>
              <w:t>二级指标</w:t>
            </w:r>
          </w:p>
        </w:tc>
        <w:tc>
          <w:tcPr>
            <w:tcW w:w="1837" w:type="dxa"/>
            <w:vAlign w:val="bottom"/>
          </w:tcPr>
          <w:p>
            <w:pPr>
              <w:spacing w:line="0" w:lineRule="atLeast"/>
              <w:rPr>
                <w:rFonts w:hint="default" w:ascii="Times New Roman" w:hAnsi="Times New Roman" w:eastAsia="仿宋_GB2312" w:cs="Times New Roman"/>
                <w:color w:val="auto"/>
                <w:sz w:val="20"/>
                <w:szCs w:val="20"/>
              </w:rPr>
            </w:pPr>
            <w:r>
              <w:rPr>
                <w:rFonts w:hint="default" w:ascii="Times New Roman" w:hAnsi="Times New Roman" w:eastAsia="仿宋_GB2312" w:cs="Times New Roman"/>
                <w:color w:val="auto"/>
                <w:w w:val="99"/>
                <w:sz w:val="20"/>
                <w:szCs w:val="20"/>
              </w:rPr>
              <w:t>三级指标</w:t>
            </w:r>
          </w:p>
        </w:tc>
        <w:tc>
          <w:tcPr>
            <w:tcW w:w="900" w:type="dxa"/>
            <w:vAlign w:val="bottom"/>
          </w:tcPr>
          <w:p>
            <w:pPr>
              <w:spacing w:line="240" w:lineRule="exact"/>
              <w:jc w:val="center"/>
              <w:rPr>
                <w:rFonts w:hint="default" w:ascii="Times New Roman" w:hAnsi="Times New Roman" w:eastAsia="仿宋_GB2312" w:cs="Times New Roman"/>
                <w:color w:val="auto"/>
                <w:sz w:val="20"/>
                <w:szCs w:val="20"/>
              </w:rPr>
            </w:pPr>
            <w:r>
              <w:rPr>
                <w:rFonts w:hint="default" w:ascii="Times New Roman" w:hAnsi="Times New Roman" w:eastAsia="仿宋_GB2312" w:cs="Times New Roman"/>
                <w:color w:val="auto"/>
                <w:w w:val="99"/>
                <w:sz w:val="20"/>
                <w:szCs w:val="20"/>
              </w:rPr>
              <w:t>年度</w:t>
            </w:r>
            <w:r>
              <w:rPr>
                <w:rFonts w:hint="default" w:ascii="Times New Roman" w:hAnsi="Times New Roman" w:eastAsia="仿宋_GB2312" w:cs="Times New Roman"/>
                <w:color w:val="auto"/>
                <w:sz w:val="20"/>
                <w:szCs w:val="20"/>
              </w:rPr>
              <w:t>指标值</w:t>
            </w:r>
          </w:p>
        </w:tc>
        <w:tc>
          <w:tcPr>
            <w:tcW w:w="1000" w:type="dxa"/>
            <w:vAlign w:val="bottom"/>
          </w:tcPr>
          <w:p>
            <w:pPr>
              <w:spacing w:line="240" w:lineRule="exact"/>
              <w:jc w:val="center"/>
              <w:rPr>
                <w:rFonts w:hint="default" w:ascii="Times New Roman" w:hAnsi="Times New Roman" w:eastAsia="仿宋_GB2312" w:cs="Times New Roman"/>
                <w:color w:val="auto"/>
                <w:sz w:val="20"/>
                <w:szCs w:val="20"/>
              </w:rPr>
            </w:pPr>
            <w:r>
              <w:rPr>
                <w:rFonts w:hint="default" w:ascii="Times New Roman" w:hAnsi="Times New Roman" w:eastAsia="仿宋_GB2312" w:cs="Times New Roman"/>
                <w:color w:val="auto"/>
                <w:w w:val="99"/>
                <w:sz w:val="20"/>
                <w:szCs w:val="20"/>
              </w:rPr>
              <w:t>实际</w:t>
            </w:r>
            <w:r>
              <w:rPr>
                <w:rFonts w:hint="default" w:ascii="Times New Roman" w:hAnsi="Times New Roman" w:eastAsia="仿宋_GB2312" w:cs="Times New Roman"/>
                <w:color w:val="auto"/>
                <w:w w:val="98"/>
                <w:sz w:val="20"/>
                <w:szCs w:val="20"/>
              </w:rPr>
              <w:t>完成值</w:t>
            </w:r>
          </w:p>
        </w:tc>
        <w:tc>
          <w:tcPr>
            <w:tcW w:w="600" w:type="dxa"/>
            <w:vAlign w:val="bottom"/>
          </w:tcPr>
          <w:p>
            <w:pPr>
              <w:spacing w:line="223" w:lineRule="exact"/>
              <w:jc w:val="center"/>
              <w:rPr>
                <w:rFonts w:hint="default" w:ascii="Times New Roman" w:hAnsi="Times New Roman" w:eastAsia="仿宋_GB2312" w:cs="Times New Roman"/>
                <w:color w:val="auto"/>
                <w:sz w:val="20"/>
                <w:szCs w:val="20"/>
              </w:rPr>
            </w:pPr>
            <w:r>
              <w:rPr>
                <w:rFonts w:hint="default" w:ascii="Times New Roman" w:hAnsi="Times New Roman" w:eastAsia="仿宋_GB2312" w:cs="Times New Roman"/>
                <w:color w:val="auto"/>
                <w:w w:val="99"/>
                <w:sz w:val="20"/>
                <w:szCs w:val="20"/>
              </w:rPr>
              <w:t>分值</w:t>
            </w:r>
          </w:p>
        </w:tc>
        <w:tc>
          <w:tcPr>
            <w:tcW w:w="600" w:type="dxa"/>
            <w:vAlign w:val="bottom"/>
          </w:tcPr>
          <w:p>
            <w:pPr>
              <w:spacing w:line="223" w:lineRule="exact"/>
              <w:jc w:val="center"/>
              <w:rPr>
                <w:rFonts w:hint="default" w:ascii="Times New Roman" w:hAnsi="Times New Roman" w:eastAsia="仿宋_GB2312" w:cs="Times New Roman"/>
                <w:color w:val="auto"/>
                <w:sz w:val="20"/>
                <w:szCs w:val="20"/>
              </w:rPr>
            </w:pPr>
            <w:r>
              <w:rPr>
                <w:rFonts w:hint="default" w:ascii="Times New Roman" w:hAnsi="Times New Roman" w:eastAsia="仿宋_GB2312" w:cs="Times New Roman"/>
                <w:color w:val="auto"/>
                <w:w w:val="99"/>
                <w:sz w:val="20"/>
                <w:szCs w:val="20"/>
              </w:rPr>
              <w:t>得分</w:t>
            </w:r>
          </w:p>
        </w:tc>
        <w:tc>
          <w:tcPr>
            <w:tcW w:w="1529" w:type="dxa"/>
            <w:vAlign w:val="bottom"/>
          </w:tcPr>
          <w:p>
            <w:pPr>
              <w:spacing w:line="198" w:lineRule="exact"/>
              <w:jc w:val="center"/>
              <w:rPr>
                <w:rFonts w:hint="default" w:ascii="Times New Roman" w:hAnsi="Times New Roman" w:eastAsia="仿宋_GB2312" w:cs="Times New Roman"/>
                <w:color w:val="auto"/>
                <w:sz w:val="20"/>
                <w:szCs w:val="20"/>
              </w:rPr>
            </w:pPr>
            <w:r>
              <w:rPr>
                <w:rFonts w:hint="default" w:ascii="Times New Roman" w:hAnsi="Times New Roman" w:eastAsia="仿宋_GB2312" w:cs="Times New Roman"/>
                <w:color w:val="auto"/>
                <w:w w:val="99"/>
                <w:sz w:val="20"/>
                <w:szCs w:val="20"/>
              </w:rPr>
              <w:t>偏差原因</w:t>
            </w:r>
            <w:r>
              <w:rPr>
                <w:rFonts w:hint="default" w:ascii="Times New Roman" w:hAnsi="Times New Roman" w:eastAsia="仿宋_GB2312" w:cs="Times New Roman"/>
                <w:color w:val="auto"/>
                <w:w w:val="98"/>
                <w:sz w:val="20"/>
                <w:szCs w:val="20"/>
              </w:rPr>
              <w:t>分析及</w:t>
            </w:r>
            <w:r>
              <w:rPr>
                <w:rFonts w:hint="default" w:ascii="Times New Roman" w:hAnsi="Times New Roman" w:eastAsia="仿宋_GB2312" w:cs="Times New Roman"/>
                <w:color w:val="auto"/>
                <w:w w:val="99"/>
                <w:sz w:val="20"/>
                <w:szCs w:val="20"/>
              </w:rPr>
              <w:t>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1069" w:type="dxa"/>
            <w:vMerge w:val="continue"/>
            <w:vAlign w:val="center"/>
          </w:tcPr>
          <w:p>
            <w:pPr>
              <w:spacing w:line="0" w:lineRule="atLeast"/>
              <w:jc w:val="center"/>
              <w:rPr>
                <w:rFonts w:hint="default" w:ascii="Times New Roman" w:hAnsi="Times New Roman" w:eastAsia="仿宋_GB2312" w:cs="Times New Roman"/>
                <w:color w:val="auto"/>
                <w:sz w:val="21"/>
                <w:szCs w:val="21"/>
              </w:rPr>
            </w:pPr>
          </w:p>
        </w:tc>
        <w:tc>
          <w:tcPr>
            <w:tcW w:w="1212" w:type="dxa"/>
            <w:vMerge w:val="restart"/>
            <w:vAlign w:val="center"/>
          </w:tcPr>
          <w:p>
            <w:pPr>
              <w:spacing w:line="240" w:lineRule="exact"/>
              <w:jc w:val="center"/>
              <w:rPr>
                <w:rFonts w:hint="default" w:ascii="Times New Roman" w:hAnsi="Times New Roman" w:eastAsia="仿宋_GB2312" w:cs="Times New Roman"/>
                <w:color w:val="auto"/>
                <w:sz w:val="20"/>
                <w:szCs w:val="20"/>
              </w:rPr>
            </w:pPr>
            <w:r>
              <w:rPr>
                <w:rFonts w:hint="default" w:ascii="Times New Roman" w:hAnsi="Times New Roman" w:eastAsia="仿宋_GB2312" w:cs="Times New Roman"/>
                <w:color w:val="auto"/>
                <w:w w:val="99"/>
                <w:sz w:val="20"/>
                <w:szCs w:val="20"/>
              </w:rPr>
              <w:t>产出指标</w:t>
            </w:r>
            <w:r>
              <w:rPr>
                <w:rFonts w:hint="default" w:ascii="Times New Roman" w:hAnsi="Times New Roman" w:eastAsia="仿宋_GB2312" w:cs="Times New Roman"/>
                <w:color w:val="auto"/>
                <w:w w:val="92"/>
                <w:sz w:val="20"/>
                <w:szCs w:val="20"/>
              </w:rPr>
              <w:t>(50 分)</w:t>
            </w:r>
          </w:p>
        </w:tc>
        <w:tc>
          <w:tcPr>
            <w:tcW w:w="1038" w:type="dxa"/>
            <w:vMerge w:val="restart"/>
          </w:tcPr>
          <w:p>
            <w:pPr>
              <w:spacing w:line="0" w:lineRule="atLeast"/>
              <w:rPr>
                <w:rFonts w:hint="default" w:ascii="Times New Roman" w:hAnsi="Times New Roman" w:eastAsia="仿宋_GB2312" w:cs="Times New Roman"/>
                <w:color w:val="auto"/>
                <w:sz w:val="20"/>
                <w:szCs w:val="20"/>
              </w:rPr>
            </w:pPr>
            <w:r>
              <w:rPr>
                <w:rFonts w:hint="default" w:ascii="Times New Roman" w:hAnsi="Times New Roman" w:eastAsia="仿宋_GB2312" w:cs="Times New Roman"/>
                <w:color w:val="auto"/>
                <w:w w:val="99"/>
                <w:sz w:val="20"/>
                <w:szCs w:val="20"/>
              </w:rPr>
              <w:t>数量指标</w:t>
            </w:r>
          </w:p>
        </w:tc>
        <w:tc>
          <w:tcPr>
            <w:tcW w:w="1837" w:type="dxa"/>
            <w:vAlign w:val="bottom"/>
          </w:tcPr>
          <w:p>
            <w:pPr>
              <w:spacing w:line="0" w:lineRule="atLeast"/>
              <w:rPr>
                <w:rFonts w:hint="default" w:ascii="Times New Roman" w:hAnsi="Times New Roman" w:eastAsia="仿宋_GB2312" w:cs="Times New Roman"/>
                <w:color w:val="auto"/>
                <w:sz w:val="20"/>
                <w:szCs w:val="20"/>
              </w:rPr>
            </w:pPr>
            <w:r>
              <w:rPr>
                <w:rFonts w:hint="default" w:ascii="Times New Roman" w:hAnsi="Times New Roman" w:eastAsia="仿宋_GB2312" w:cs="Times New Roman"/>
                <w:color w:val="auto"/>
                <w:sz w:val="20"/>
                <w:szCs w:val="20"/>
              </w:rPr>
              <w:t>指标 1：满功率度</w:t>
            </w:r>
          </w:p>
        </w:tc>
        <w:tc>
          <w:tcPr>
            <w:tcW w:w="900" w:type="dxa"/>
            <w:vAlign w:val="bottom"/>
          </w:tcPr>
          <w:p>
            <w:pPr>
              <w:spacing w:line="0" w:lineRule="atLeast"/>
              <w:rPr>
                <w:rFonts w:hint="default" w:ascii="Times New Roman" w:hAnsi="Times New Roman" w:eastAsia="仿宋_GB2312" w:cs="Times New Roman"/>
                <w:color w:val="auto"/>
                <w:sz w:val="20"/>
                <w:szCs w:val="20"/>
              </w:rPr>
            </w:pPr>
            <w:r>
              <w:rPr>
                <w:rFonts w:hint="default" w:ascii="Times New Roman" w:hAnsi="Times New Roman" w:eastAsia="仿宋_GB2312" w:cs="Times New Roman"/>
                <w:color w:val="auto"/>
                <w:sz w:val="20"/>
                <w:szCs w:val="20"/>
              </w:rPr>
              <w:t>100%</w:t>
            </w:r>
          </w:p>
        </w:tc>
        <w:tc>
          <w:tcPr>
            <w:tcW w:w="1000" w:type="dxa"/>
            <w:vAlign w:val="bottom"/>
          </w:tcPr>
          <w:p>
            <w:pPr>
              <w:spacing w:line="0" w:lineRule="atLeast"/>
              <w:rPr>
                <w:rFonts w:hint="default" w:ascii="Times New Roman" w:hAnsi="Times New Roman" w:eastAsia="仿宋_GB2312" w:cs="Times New Roman"/>
                <w:color w:val="auto"/>
                <w:sz w:val="20"/>
                <w:szCs w:val="20"/>
              </w:rPr>
            </w:pPr>
            <w:r>
              <w:rPr>
                <w:rFonts w:hint="default" w:ascii="Times New Roman" w:hAnsi="Times New Roman" w:eastAsia="仿宋_GB2312" w:cs="Times New Roman"/>
                <w:color w:val="auto"/>
                <w:sz w:val="20"/>
                <w:szCs w:val="20"/>
              </w:rPr>
              <w:t>100%</w:t>
            </w:r>
          </w:p>
        </w:tc>
        <w:tc>
          <w:tcPr>
            <w:tcW w:w="600" w:type="dxa"/>
            <w:vAlign w:val="bottom"/>
          </w:tcPr>
          <w:p>
            <w:pPr>
              <w:spacing w:line="0" w:lineRule="atLeast"/>
              <w:rPr>
                <w:rFonts w:hint="default" w:ascii="Times New Roman" w:hAnsi="Times New Roman" w:eastAsia="仿宋_GB2312" w:cs="Times New Roman"/>
                <w:color w:val="auto"/>
                <w:sz w:val="20"/>
                <w:szCs w:val="20"/>
              </w:rPr>
            </w:pPr>
            <w:r>
              <w:rPr>
                <w:rFonts w:hint="default" w:ascii="Times New Roman" w:hAnsi="Times New Roman" w:eastAsia="仿宋_GB2312" w:cs="Times New Roman"/>
                <w:color w:val="auto"/>
                <w:sz w:val="20"/>
                <w:szCs w:val="20"/>
              </w:rPr>
              <w:t>6</w:t>
            </w:r>
          </w:p>
        </w:tc>
        <w:tc>
          <w:tcPr>
            <w:tcW w:w="600" w:type="dxa"/>
            <w:vAlign w:val="bottom"/>
          </w:tcPr>
          <w:p>
            <w:pPr>
              <w:spacing w:line="0" w:lineRule="atLeast"/>
              <w:rPr>
                <w:rFonts w:hint="default" w:ascii="Times New Roman" w:hAnsi="Times New Roman" w:eastAsia="仿宋_GB2312" w:cs="Times New Roman"/>
                <w:color w:val="auto"/>
                <w:sz w:val="20"/>
                <w:szCs w:val="20"/>
              </w:rPr>
            </w:pPr>
            <w:r>
              <w:rPr>
                <w:rFonts w:hint="default" w:ascii="Times New Roman" w:hAnsi="Times New Roman" w:eastAsia="仿宋_GB2312" w:cs="Times New Roman"/>
                <w:color w:val="auto"/>
                <w:sz w:val="20"/>
                <w:szCs w:val="20"/>
              </w:rPr>
              <w:t>6</w:t>
            </w:r>
          </w:p>
        </w:tc>
        <w:tc>
          <w:tcPr>
            <w:tcW w:w="1529" w:type="dxa"/>
            <w:vAlign w:val="bottom"/>
          </w:tcPr>
          <w:p>
            <w:pPr>
              <w:spacing w:line="223" w:lineRule="exact"/>
              <w:jc w:val="center"/>
              <w:rPr>
                <w:rFonts w:hint="default" w:ascii="Times New Roman" w:hAnsi="Times New Roman" w:eastAsia="仿宋_GB2312"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1069" w:type="dxa"/>
            <w:vMerge w:val="continue"/>
            <w:vAlign w:val="center"/>
          </w:tcPr>
          <w:p>
            <w:pPr>
              <w:spacing w:line="0" w:lineRule="atLeast"/>
              <w:jc w:val="center"/>
              <w:rPr>
                <w:rFonts w:hint="default" w:ascii="Times New Roman" w:hAnsi="Times New Roman" w:eastAsia="仿宋_GB2312" w:cs="Times New Roman"/>
                <w:color w:val="auto"/>
                <w:sz w:val="21"/>
                <w:szCs w:val="21"/>
              </w:rPr>
            </w:pPr>
          </w:p>
        </w:tc>
        <w:tc>
          <w:tcPr>
            <w:tcW w:w="1212" w:type="dxa"/>
            <w:vMerge w:val="continue"/>
          </w:tcPr>
          <w:p>
            <w:pPr>
              <w:spacing w:line="0" w:lineRule="atLeast"/>
              <w:rPr>
                <w:rFonts w:hint="default" w:ascii="Times New Roman" w:hAnsi="Times New Roman" w:eastAsia="仿宋_GB2312" w:cs="Times New Roman"/>
                <w:color w:val="auto"/>
                <w:sz w:val="20"/>
                <w:szCs w:val="20"/>
              </w:rPr>
            </w:pPr>
          </w:p>
        </w:tc>
        <w:tc>
          <w:tcPr>
            <w:tcW w:w="1038" w:type="dxa"/>
            <w:vMerge w:val="continue"/>
          </w:tcPr>
          <w:p>
            <w:pPr>
              <w:spacing w:line="0" w:lineRule="atLeast"/>
              <w:rPr>
                <w:rFonts w:hint="default" w:ascii="Times New Roman" w:hAnsi="Times New Roman" w:eastAsia="仿宋_GB2312" w:cs="Times New Roman"/>
                <w:color w:val="auto"/>
                <w:sz w:val="20"/>
                <w:szCs w:val="20"/>
              </w:rPr>
            </w:pPr>
          </w:p>
        </w:tc>
        <w:tc>
          <w:tcPr>
            <w:tcW w:w="1837" w:type="dxa"/>
          </w:tcPr>
          <w:p>
            <w:pPr>
              <w:spacing w:line="0" w:lineRule="atLeast"/>
              <w:rPr>
                <w:rFonts w:hint="default" w:ascii="Times New Roman" w:hAnsi="Times New Roman" w:eastAsia="仿宋_GB2312" w:cs="Times New Roman"/>
                <w:color w:val="auto"/>
                <w:sz w:val="20"/>
                <w:szCs w:val="20"/>
              </w:rPr>
            </w:pPr>
            <w:r>
              <w:rPr>
                <w:rFonts w:hint="default" w:ascii="Times New Roman" w:hAnsi="Times New Roman" w:eastAsia="仿宋_GB2312" w:cs="Times New Roman"/>
                <w:color w:val="auto"/>
                <w:sz w:val="20"/>
                <w:szCs w:val="20"/>
              </w:rPr>
              <w:t>指标 2：按时安全播出</w:t>
            </w:r>
          </w:p>
        </w:tc>
        <w:tc>
          <w:tcPr>
            <w:tcW w:w="900" w:type="dxa"/>
          </w:tcPr>
          <w:p>
            <w:pPr>
              <w:spacing w:line="0" w:lineRule="atLeast"/>
              <w:rPr>
                <w:rFonts w:hint="default" w:ascii="Times New Roman" w:hAnsi="Times New Roman" w:eastAsia="仿宋_GB2312" w:cs="Times New Roman"/>
                <w:color w:val="auto"/>
                <w:sz w:val="20"/>
                <w:szCs w:val="20"/>
              </w:rPr>
            </w:pPr>
            <w:r>
              <w:rPr>
                <w:rFonts w:hint="default" w:ascii="Times New Roman" w:hAnsi="Times New Roman" w:eastAsia="仿宋_GB2312" w:cs="Times New Roman"/>
                <w:color w:val="auto"/>
                <w:sz w:val="20"/>
                <w:szCs w:val="20"/>
              </w:rPr>
              <w:t>100%</w:t>
            </w:r>
          </w:p>
        </w:tc>
        <w:tc>
          <w:tcPr>
            <w:tcW w:w="1000" w:type="dxa"/>
          </w:tcPr>
          <w:p>
            <w:pPr>
              <w:spacing w:line="0" w:lineRule="atLeast"/>
              <w:rPr>
                <w:rFonts w:hint="default" w:ascii="Times New Roman" w:hAnsi="Times New Roman" w:eastAsia="仿宋_GB2312" w:cs="Times New Roman"/>
                <w:color w:val="auto"/>
                <w:sz w:val="20"/>
                <w:szCs w:val="20"/>
              </w:rPr>
            </w:pPr>
            <w:r>
              <w:rPr>
                <w:rFonts w:hint="default" w:ascii="Times New Roman" w:hAnsi="Times New Roman" w:eastAsia="仿宋_GB2312" w:cs="Times New Roman"/>
                <w:color w:val="auto"/>
                <w:sz w:val="20"/>
                <w:szCs w:val="20"/>
              </w:rPr>
              <w:t>100%</w:t>
            </w:r>
          </w:p>
        </w:tc>
        <w:tc>
          <w:tcPr>
            <w:tcW w:w="600" w:type="dxa"/>
          </w:tcPr>
          <w:p>
            <w:pPr>
              <w:spacing w:line="0" w:lineRule="atLeast"/>
              <w:rPr>
                <w:rFonts w:hint="default" w:ascii="Times New Roman" w:hAnsi="Times New Roman" w:eastAsia="仿宋_GB2312" w:cs="Times New Roman"/>
                <w:color w:val="auto"/>
                <w:sz w:val="20"/>
                <w:szCs w:val="20"/>
              </w:rPr>
            </w:pPr>
            <w:r>
              <w:rPr>
                <w:rFonts w:hint="default" w:ascii="Times New Roman" w:hAnsi="Times New Roman" w:eastAsia="仿宋_GB2312" w:cs="Times New Roman"/>
                <w:color w:val="auto"/>
                <w:sz w:val="20"/>
                <w:szCs w:val="20"/>
              </w:rPr>
              <w:t>6.5</w:t>
            </w:r>
          </w:p>
        </w:tc>
        <w:tc>
          <w:tcPr>
            <w:tcW w:w="600" w:type="dxa"/>
          </w:tcPr>
          <w:p>
            <w:pPr>
              <w:spacing w:line="0" w:lineRule="atLeast"/>
              <w:rPr>
                <w:rFonts w:hint="default" w:ascii="Times New Roman" w:hAnsi="Times New Roman" w:eastAsia="仿宋_GB2312" w:cs="Times New Roman"/>
                <w:color w:val="auto"/>
                <w:sz w:val="20"/>
                <w:szCs w:val="20"/>
              </w:rPr>
            </w:pPr>
            <w:r>
              <w:rPr>
                <w:rFonts w:hint="default" w:ascii="Times New Roman" w:hAnsi="Times New Roman" w:eastAsia="仿宋_GB2312" w:cs="Times New Roman"/>
                <w:color w:val="auto"/>
                <w:sz w:val="20"/>
                <w:szCs w:val="20"/>
              </w:rPr>
              <w:t>6.5</w:t>
            </w:r>
          </w:p>
        </w:tc>
        <w:tc>
          <w:tcPr>
            <w:tcW w:w="1529" w:type="dxa"/>
            <w:vAlign w:val="bottom"/>
          </w:tcPr>
          <w:p>
            <w:pPr>
              <w:spacing w:line="240" w:lineRule="exact"/>
              <w:jc w:val="center"/>
              <w:rPr>
                <w:rFonts w:hint="default" w:ascii="Times New Roman" w:hAnsi="Times New Roman" w:eastAsia="仿宋_GB2312"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1069" w:type="dxa"/>
            <w:vMerge w:val="continue"/>
            <w:vAlign w:val="center"/>
          </w:tcPr>
          <w:p>
            <w:pPr>
              <w:spacing w:line="0" w:lineRule="atLeast"/>
              <w:jc w:val="center"/>
              <w:rPr>
                <w:rFonts w:hint="default" w:ascii="Times New Roman" w:hAnsi="Times New Roman" w:eastAsia="仿宋_GB2312" w:cs="Times New Roman"/>
                <w:color w:val="auto"/>
                <w:sz w:val="21"/>
                <w:szCs w:val="21"/>
              </w:rPr>
            </w:pPr>
          </w:p>
        </w:tc>
        <w:tc>
          <w:tcPr>
            <w:tcW w:w="1212" w:type="dxa"/>
            <w:vMerge w:val="continue"/>
          </w:tcPr>
          <w:p>
            <w:pPr>
              <w:spacing w:line="0" w:lineRule="atLeast"/>
              <w:rPr>
                <w:rFonts w:hint="default" w:ascii="Times New Roman" w:hAnsi="Times New Roman" w:eastAsia="仿宋_GB2312" w:cs="Times New Roman"/>
                <w:color w:val="auto"/>
                <w:sz w:val="20"/>
                <w:szCs w:val="20"/>
              </w:rPr>
            </w:pPr>
          </w:p>
        </w:tc>
        <w:tc>
          <w:tcPr>
            <w:tcW w:w="1038" w:type="dxa"/>
            <w:vMerge w:val="restart"/>
          </w:tcPr>
          <w:p>
            <w:pPr>
              <w:spacing w:line="0" w:lineRule="atLeast"/>
              <w:rPr>
                <w:rFonts w:hint="default" w:ascii="Times New Roman" w:hAnsi="Times New Roman" w:eastAsia="仿宋_GB2312" w:cs="Times New Roman"/>
                <w:color w:val="auto"/>
                <w:sz w:val="20"/>
                <w:szCs w:val="20"/>
              </w:rPr>
            </w:pPr>
            <w:r>
              <w:rPr>
                <w:rFonts w:hint="default" w:ascii="Times New Roman" w:hAnsi="Times New Roman" w:eastAsia="仿宋_GB2312" w:cs="Times New Roman"/>
                <w:color w:val="auto"/>
                <w:w w:val="99"/>
                <w:sz w:val="20"/>
                <w:szCs w:val="20"/>
              </w:rPr>
              <w:t>质量指标</w:t>
            </w:r>
          </w:p>
        </w:tc>
        <w:tc>
          <w:tcPr>
            <w:tcW w:w="1837" w:type="dxa"/>
            <w:vAlign w:val="bottom"/>
          </w:tcPr>
          <w:p>
            <w:pPr>
              <w:spacing w:line="0" w:lineRule="atLeast"/>
              <w:rPr>
                <w:rFonts w:hint="default" w:ascii="Times New Roman" w:hAnsi="Times New Roman" w:eastAsia="仿宋_GB2312" w:cs="Times New Roman"/>
                <w:color w:val="auto"/>
                <w:sz w:val="20"/>
                <w:szCs w:val="20"/>
              </w:rPr>
            </w:pPr>
            <w:r>
              <w:rPr>
                <w:rFonts w:hint="default" w:ascii="Times New Roman" w:hAnsi="Times New Roman" w:eastAsia="仿宋_GB2312" w:cs="Times New Roman"/>
                <w:color w:val="auto"/>
                <w:sz w:val="20"/>
                <w:szCs w:val="20"/>
              </w:rPr>
              <w:t>指标 1：发射机及附属设备完好率</w:t>
            </w:r>
          </w:p>
        </w:tc>
        <w:tc>
          <w:tcPr>
            <w:tcW w:w="900" w:type="dxa"/>
            <w:vAlign w:val="bottom"/>
          </w:tcPr>
          <w:p>
            <w:pPr>
              <w:spacing w:line="0" w:lineRule="atLeast"/>
              <w:rPr>
                <w:rFonts w:hint="default" w:ascii="Times New Roman" w:hAnsi="Times New Roman" w:eastAsia="仿宋_GB2312" w:cs="Times New Roman"/>
                <w:color w:val="auto"/>
                <w:sz w:val="20"/>
                <w:szCs w:val="20"/>
              </w:rPr>
            </w:pPr>
            <w:r>
              <w:rPr>
                <w:rFonts w:hint="default" w:ascii="Times New Roman" w:hAnsi="Times New Roman" w:eastAsia="仿宋_GB2312" w:cs="Times New Roman"/>
                <w:color w:val="auto"/>
                <w:sz w:val="20"/>
                <w:szCs w:val="20"/>
              </w:rPr>
              <w:t>100%</w:t>
            </w:r>
          </w:p>
        </w:tc>
        <w:tc>
          <w:tcPr>
            <w:tcW w:w="1000" w:type="dxa"/>
            <w:vAlign w:val="bottom"/>
          </w:tcPr>
          <w:p>
            <w:pPr>
              <w:spacing w:line="0" w:lineRule="atLeast"/>
              <w:rPr>
                <w:rFonts w:hint="default" w:ascii="Times New Roman" w:hAnsi="Times New Roman" w:eastAsia="仿宋_GB2312" w:cs="Times New Roman"/>
                <w:color w:val="auto"/>
                <w:sz w:val="20"/>
                <w:szCs w:val="20"/>
              </w:rPr>
            </w:pPr>
            <w:r>
              <w:rPr>
                <w:rFonts w:hint="default" w:ascii="Times New Roman" w:hAnsi="Times New Roman" w:eastAsia="仿宋_GB2312" w:cs="Times New Roman"/>
                <w:color w:val="auto"/>
                <w:sz w:val="20"/>
                <w:szCs w:val="20"/>
              </w:rPr>
              <w:t>100%</w:t>
            </w:r>
          </w:p>
        </w:tc>
        <w:tc>
          <w:tcPr>
            <w:tcW w:w="600" w:type="dxa"/>
            <w:vAlign w:val="bottom"/>
          </w:tcPr>
          <w:p>
            <w:pPr>
              <w:spacing w:line="0" w:lineRule="atLeast"/>
              <w:rPr>
                <w:rFonts w:hint="default" w:ascii="Times New Roman" w:hAnsi="Times New Roman" w:eastAsia="仿宋_GB2312" w:cs="Times New Roman"/>
                <w:color w:val="auto"/>
                <w:sz w:val="20"/>
                <w:szCs w:val="20"/>
              </w:rPr>
            </w:pPr>
            <w:r>
              <w:rPr>
                <w:rFonts w:hint="default" w:ascii="Times New Roman" w:hAnsi="Times New Roman" w:eastAsia="仿宋_GB2312" w:cs="Times New Roman"/>
                <w:color w:val="auto"/>
                <w:sz w:val="20"/>
                <w:szCs w:val="20"/>
              </w:rPr>
              <w:t>6</w:t>
            </w:r>
          </w:p>
        </w:tc>
        <w:tc>
          <w:tcPr>
            <w:tcW w:w="600" w:type="dxa"/>
            <w:vAlign w:val="bottom"/>
          </w:tcPr>
          <w:p>
            <w:pPr>
              <w:spacing w:line="0" w:lineRule="atLeast"/>
              <w:rPr>
                <w:rFonts w:hint="default" w:ascii="Times New Roman" w:hAnsi="Times New Roman" w:eastAsia="仿宋_GB2312" w:cs="Times New Roman"/>
                <w:color w:val="auto"/>
                <w:sz w:val="20"/>
                <w:szCs w:val="20"/>
              </w:rPr>
            </w:pPr>
            <w:r>
              <w:rPr>
                <w:rFonts w:hint="default" w:ascii="Times New Roman" w:hAnsi="Times New Roman" w:eastAsia="仿宋_GB2312" w:cs="Times New Roman"/>
                <w:color w:val="auto"/>
                <w:sz w:val="20"/>
                <w:szCs w:val="20"/>
              </w:rPr>
              <w:t>6</w:t>
            </w:r>
          </w:p>
        </w:tc>
        <w:tc>
          <w:tcPr>
            <w:tcW w:w="1529" w:type="dxa"/>
          </w:tcPr>
          <w:p>
            <w:pPr>
              <w:spacing w:line="0" w:lineRule="atLeast"/>
              <w:rPr>
                <w:rFonts w:hint="default" w:ascii="Times New Roman" w:hAnsi="Times New Roman" w:eastAsia="仿宋_GB2312"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trPr>
        <w:tc>
          <w:tcPr>
            <w:tcW w:w="1069" w:type="dxa"/>
            <w:vMerge w:val="continue"/>
            <w:vAlign w:val="center"/>
          </w:tcPr>
          <w:p>
            <w:pPr>
              <w:spacing w:line="0" w:lineRule="atLeast"/>
              <w:jc w:val="center"/>
              <w:rPr>
                <w:rFonts w:hint="default" w:ascii="Times New Roman" w:hAnsi="Times New Roman" w:eastAsia="仿宋_GB2312" w:cs="Times New Roman"/>
                <w:color w:val="auto"/>
                <w:sz w:val="21"/>
                <w:szCs w:val="21"/>
              </w:rPr>
            </w:pPr>
          </w:p>
        </w:tc>
        <w:tc>
          <w:tcPr>
            <w:tcW w:w="1212" w:type="dxa"/>
            <w:vMerge w:val="continue"/>
          </w:tcPr>
          <w:p>
            <w:pPr>
              <w:spacing w:line="0" w:lineRule="atLeast"/>
              <w:rPr>
                <w:rFonts w:hint="default" w:ascii="Times New Roman" w:hAnsi="Times New Roman" w:eastAsia="仿宋_GB2312" w:cs="Times New Roman"/>
                <w:color w:val="auto"/>
                <w:sz w:val="20"/>
                <w:szCs w:val="20"/>
              </w:rPr>
            </w:pPr>
          </w:p>
        </w:tc>
        <w:tc>
          <w:tcPr>
            <w:tcW w:w="1038" w:type="dxa"/>
            <w:vMerge w:val="continue"/>
          </w:tcPr>
          <w:p>
            <w:pPr>
              <w:spacing w:line="0" w:lineRule="atLeast"/>
              <w:rPr>
                <w:rFonts w:hint="default" w:ascii="Times New Roman" w:hAnsi="Times New Roman" w:eastAsia="仿宋_GB2312" w:cs="Times New Roman"/>
                <w:color w:val="auto"/>
                <w:sz w:val="20"/>
                <w:szCs w:val="20"/>
              </w:rPr>
            </w:pPr>
          </w:p>
        </w:tc>
        <w:tc>
          <w:tcPr>
            <w:tcW w:w="1837" w:type="dxa"/>
          </w:tcPr>
          <w:p>
            <w:pPr>
              <w:spacing w:line="0" w:lineRule="atLeast"/>
              <w:rPr>
                <w:rFonts w:hint="default" w:ascii="Times New Roman" w:hAnsi="Times New Roman" w:eastAsia="仿宋_GB2312" w:cs="Times New Roman"/>
                <w:color w:val="auto"/>
                <w:sz w:val="20"/>
                <w:szCs w:val="20"/>
              </w:rPr>
            </w:pPr>
            <w:r>
              <w:rPr>
                <w:rFonts w:hint="default" w:ascii="Times New Roman" w:hAnsi="Times New Roman" w:eastAsia="仿宋_GB2312" w:cs="Times New Roman"/>
                <w:color w:val="auto"/>
                <w:sz w:val="20"/>
                <w:szCs w:val="20"/>
              </w:rPr>
              <w:t>指标 2：满调幅度</w:t>
            </w:r>
          </w:p>
        </w:tc>
        <w:tc>
          <w:tcPr>
            <w:tcW w:w="900" w:type="dxa"/>
          </w:tcPr>
          <w:p>
            <w:pPr>
              <w:spacing w:line="0" w:lineRule="atLeast"/>
              <w:rPr>
                <w:rFonts w:hint="default" w:ascii="Times New Roman" w:hAnsi="Times New Roman" w:eastAsia="仿宋_GB2312" w:cs="Times New Roman"/>
                <w:color w:val="auto"/>
                <w:sz w:val="20"/>
                <w:szCs w:val="20"/>
              </w:rPr>
            </w:pPr>
            <w:r>
              <w:rPr>
                <w:rFonts w:hint="default" w:ascii="Times New Roman" w:hAnsi="Times New Roman" w:eastAsia="仿宋_GB2312" w:cs="Times New Roman"/>
                <w:color w:val="auto"/>
                <w:sz w:val="20"/>
                <w:szCs w:val="20"/>
              </w:rPr>
              <w:t>优</w:t>
            </w:r>
          </w:p>
        </w:tc>
        <w:tc>
          <w:tcPr>
            <w:tcW w:w="1000" w:type="dxa"/>
          </w:tcPr>
          <w:p>
            <w:pPr>
              <w:spacing w:line="0" w:lineRule="atLeast"/>
              <w:rPr>
                <w:rFonts w:hint="default" w:ascii="Times New Roman" w:hAnsi="Times New Roman" w:eastAsia="仿宋_GB2312" w:cs="Times New Roman"/>
                <w:color w:val="auto"/>
                <w:sz w:val="20"/>
                <w:szCs w:val="20"/>
              </w:rPr>
            </w:pPr>
            <w:r>
              <w:rPr>
                <w:rFonts w:hint="default" w:ascii="Times New Roman" w:hAnsi="Times New Roman" w:eastAsia="仿宋_GB2312" w:cs="Times New Roman"/>
                <w:color w:val="auto"/>
                <w:sz w:val="20"/>
                <w:szCs w:val="20"/>
              </w:rPr>
              <w:t>优</w:t>
            </w:r>
          </w:p>
        </w:tc>
        <w:tc>
          <w:tcPr>
            <w:tcW w:w="600" w:type="dxa"/>
          </w:tcPr>
          <w:p>
            <w:pPr>
              <w:spacing w:line="0" w:lineRule="atLeast"/>
              <w:rPr>
                <w:rFonts w:hint="default" w:ascii="Times New Roman" w:hAnsi="Times New Roman" w:eastAsia="仿宋_GB2312" w:cs="Times New Roman"/>
                <w:color w:val="auto"/>
                <w:sz w:val="20"/>
                <w:szCs w:val="20"/>
              </w:rPr>
            </w:pPr>
            <w:r>
              <w:rPr>
                <w:rFonts w:hint="default" w:ascii="Times New Roman" w:hAnsi="Times New Roman" w:eastAsia="仿宋_GB2312" w:cs="Times New Roman"/>
                <w:color w:val="auto"/>
                <w:sz w:val="20"/>
                <w:szCs w:val="20"/>
              </w:rPr>
              <w:t>6.5</w:t>
            </w:r>
          </w:p>
        </w:tc>
        <w:tc>
          <w:tcPr>
            <w:tcW w:w="600" w:type="dxa"/>
          </w:tcPr>
          <w:p>
            <w:pPr>
              <w:spacing w:line="0" w:lineRule="atLeast"/>
              <w:rPr>
                <w:rFonts w:hint="default" w:ascii="Times New Roman" w:hAnsi="Times New Roman" w:eastAsia="仿宋_GB2312" w:cs="Times New Roman"/>
                <w:color w:val="auto"/>
                <w:sz w:val="20"/>
                <w:szCs w:val="20"/>
              </w:rPr>
            </w:pPr>
            <w:r>
              <w:rPr>
                <w:rFonts w:hint="default" w:ascii="Times New Roman" w:hAnsi="Times New Roman" w:eastAsia="仿宋_GB2312" w:cs="Times New Roman"/>
                <w:color w:val="auto"/>
                <w:sz w:val="20"/>
                <w:szCs w:val="20"/>
              </w:rPr>
              <w:t>6.5</w:t>
            </w:r>
          </w:p>
        </w:tc>
        <w:tc>
          <w:tcPr>
            <w:tcW w:w="1529" w:type="dxa"/>
          </w:tcPr>
          <w:p>
            <w:pPr>
              <w:spacing w:line="0" w:lineRule="atLeast"/>
              <w:rPr>
                <w:rFonts w:hint="default" w:ascii="Times New Roman" w:hAnsi="Times New Roman" w:eastAsia="仿宋_GB2312"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9" w:type="dxa"/>
            <w:vMerge w:val="continue"/>
            <w:vAlign w:val="center"/>
          </w:tcPr>
          <w:p>
            <w:pPr>
              <w:spacing w:line="0" w:lineRule="atLeast"/>
              <w:jc w:val="center"/>
              <w:rPr>
                <w:rFonts w:hint="default" w:ascii="Times New Roman" w:hAnsi="Times New Roman" w:eastAsia="仿宋_GB2312" w:cs="Times New Roman"/>
                <w:color w:val="auto"/>
                <w:sz w:val="21"/>
                <w:szCs w:val="21"/>
              </w:rPr>
            </w:pPr>
          </w:p>
        </w:tc>
        <w:tc>
          <w:tcPr>
            <w:tcW w:w="1212" w:type="dxa"/>
            <w:vMerge w:val="continue"/>
          </w:tcPr>
          <w:p>
            <w:pPr>
              <w:spacing w:line="0" w:lineRule="atLeast"/>
              <w:rPr>
                <w:rFonts w:hint="default" w:ascii="Times New Roman" w:hAnsi="Times New Roman" w:eastAsia="仿宋_GB2312" w:cs="Times New Roman"/>
                <w:color w:val="auto"/>
                <w:sz w:val="20"/>
                <w:szCs w:val="20"/>
              </w:rPr>
            </w:pPr>
          </w:p>
        </w:tc>
        <w:tc>
          <w:tcPr>
            <w:tcW w:w="1038" w:type="dxa"/>
            <w:vMerge w:val="restart"/>
          </w:tcPr>
          <w:p>
            <w:pPr>
              <w:spacing w:line="0" w:lineRule="atLeast"/>
              <w:rPr>
                <w:rFonts w:hint="default" w:ascii="Times New Roman" w:hAnsi="Times New Roman" w:eastAsia="仿宋_GB2312" w:cs="Times New Roman"/>
                <w:color w:val="auto"/>
                <w:sz w:val="20"/>
                <w:szCs w:val="20"/>
              </w:rPr>
            </w:pPr>
            <w:r>
              <w:rPr>
                <w:rFonts w:hint="default" w:ascii="Times New Roman" w:hAnsi="Times New Roman" w:eastAsia="仿宋_GB2312" w:cs="Times New Roman"/>
                <w:color w:val="auto"/>
                <w:w w:val="99"/>
                <w:sz w:val="20"/>
                <w:szCs w:val="20"/>
              </w:rPr>
              <w:t>时效指标</w:t>
            </w:r>
          </w:p>
        </w:tc>
        <w:tc>
          <w:tcPr>
            <w:tcW w:w="1837" w:type="dxa"/>
          </w:tcPr>
          <w:p>
            <w:pPr>
              <w:spacing w:line="0" w:lineRule="atLeast"/>
              <w:rPr>
                <w:rFonts w:hint="default" w:ascii="Times New Roman" w:hAnsi="Times New Roman" w:eastAsia="仿宋_GB2312" w:cs="Times New Roman"/>
                <w:color w:val="auto"/>
                <w:sz w:val="20"/>
                <w:szCs w:val="20"/>
              </w:rPr>
            </w:pPr>
            <w:r>
              <w:rPr>
                <w:rFonts w:hint="default" w:ascii="Times New Roman" w:hAnsi="Times New Roman" w:eastAsia="仿宋_GB2312" w:cs="Times New Roman"/>
                <w:color w:val="auto"/>
                <w:sz w:val="20"/>
                <w:szCs w:val="20"/>
              </w:rPr>
              <w:t>指标 1：满时间度</w:t>
            </w:r>
          </w:p>
        </w:tc>
        <w:tc>
          <w:tcPr>
            <w:tcW w:w="900" w:type="dxa"/>
          </w:tcPr>
          <w:p>
            <w:pPr>
              <w:spacing w:line="0" w:lineRule="atLeast"/>
              <w:rPr>
                <w:rFonts w:hint="default" w:ascii="Times New Roman" w:hAnsi="Times New Roman" w:eastAsia="仿宋_GB2312" w:cs="Times New Roman"/>
                <w:color w:val="auto"/>
                <w:sz w:val="20"/>
                <w:szCs w:val="20"/>
              </w:rPr>
            </w:pPr>
            <w:r>
              <w:rPr>
                <w:rFonts w:hint="default" w:ascii="Times New Roman" w:hAnsi="Times New Roman" w:eastAsia="仿宋_GB2312" w:cs="Times New Roman"/>
                <w:color w:val="auto"/>
                <w:sz w:val="20"/>
                <w:szCs w:val="20"/>
              </w:rPr>
              <w:t>100%</w:t>
            </w:r>
          </w:p>
        </w:tc>
        <w:tc>
          <w:tcPr>
            <w:tcW w:w="1000" w:type="dxa"/>
          </w:tcPr>
          <w:p>
            <w:pPr>
              <w:spacing w:line="0" w:lineRule="atLeast"/>
              <w:rPr>
                <w:rFonts w:hint="default" w:ascii="Times New Roman" w:hAnsi="Times New Roman" w:eastAsia="仿宋_GB2312" w:cs="Times New Roman"/>
                <w:color w:val="auto"/>
                <w:sz w:val="20"/>
                <w:szCs w:val="20"/>
              </w:rPr>
            </w:pPr>
            <w:r>
              <w:rPr>
                <w:rFonts w:hint="default" w:ascii="Times New Roman" w:hAnsi="Times New Roman" w:eastAsia="仿宋_GB2312" w:cs="Times New Roman"/>
                <w:color w:val="auto"/>
                <w:sz w:val="20"/>
                <w:szCs w:val="20"/>
              </w:rPr>
              <w:t>100%</w:t>
            </w:r>
          </w:p>
        </w:tc>
        <w:tc>
          <w:tcPr>
            <w:tcW w:w="600" w:type="dxa"/>
          </w:tcPr>
          <w:p>
            <w:pPr>
              <w:spacing w:line="0" w:lineRule="atLeast"/>
              <w:rPr>
                <w:rFonts w:hint="default" w:ascii="Times New Roman" w:hAnsi="Times New Roman" w:eastAsia="仿宋_GB2312" w:cs="Times New Roman"/>
                <w:color w:val="auto"/>
                <w:sz w:val="20"/>
                <w:szCs w:val="20"/>
              </w:rPr>
            </w:pPr>
            <w:r>
              <w:rPr>
                <w:rFonts w:hint="default" w:ascii="Times New Roman" w:hAnsi="Times New Roman" w:eastAsia="仿宋_GB2312" w:cs="Times New Roman"/>
                <w:color w:val="auto"/>
                <w:sz w:val="20"/>
                <w:szCs w:val="20"/>
              </w:rPr>
              <w:t>12.5</w:t>
            </w:r>
          </w:p>
        </w:tc>
        <w:tc>
          <w:tcPr>
            <w:tcW w:w="600" w:type="dxa"/>
          </w:tcPr>
          <w:p>
            <w:pPr>
              <w:spacing w:line="0" w:lineRule="atLeast"/>
              <w:rPr>
                <w:rFonts w:hint="default" w:ascii="Times New Roman" w:hAnsi="Times New Roman" w:eastAsia="仿宋_GB2312" w:cs="Times New Roman"/>
                <w:color w:val="auto"/>
                <w:sz w:val="20"/>
                <w:szCs w:val="20"/>
              </w:rPr>
            </w:pPr>
            <w:r>
              <w:rPr>
                <w:rFonts w:hint="default" w:ascii="Times New Roman" w:hAnsi="Times New Roman" w:eastAsia="仿宋_GB2312" w:cs="Times New Roman"/>
                <w:color w:val="auto"/>
                <w:sz w:val="20"/>
                <w:szCs w:val="20"/>
              </w:rPr>
              <w:t>12.5</w:t>
            </w:r>
          </w:p>
        </w:tc>
        <w:tc>
          <w:tcPr>
            <w:tcW w:w="1529" w:type="dxa"/>
          </w:tcPr>
          <w:p>
            <w:pPr>
              <w:spacing w:line="0" w:lineRule="atLeast"/>
              <w:rPr>
                <w:rFonts w:hint="default" w:ascii="Times New Roman" w:hAnsi="Times New Roman" w:eastAsia="仿宋_GB2312"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9" w:type="dxa"/>
            <w:vMerge w:val="continue"/>
            <w:vAlign w:val="center"/>
          </w:tcPr>
          <w:p>
            <w:pPr>
              <w:spacing w:line="0" w:lineRule="atLeast"/>
              <w:jc w:val="center"/>
              <w:rPr>
                <w:rFonts w:hint="default" w:ascii="Times New Roman" w:hAnsi="Times New Roman" w:eastAsia="仿宋_GB2312" w:cs="Times New Roman"/>
                <w:color w:val="auto"/>
                <w:sz w:val="21"/>
                <w:szCs w:val="21"/>
              </w:rPr>
            </w:pPr>
          </w:p>
        </w:tc>
        <w:tc>
          <w:tcPr>
            <w:tcW w:w="1212" w:type="dxa"/>
            <w:vMerge w:val="continue"/>
          </w:tcPr>
          <w:p>
            <w:pPr>
              <w:spacing w:line="0" w:lineRule="atLeast"/>
              <w:rPr>
                <w:rFonts w:hint="default" w:ascii="Times New Roman" w:hAnsi="Times New Roman" w:eastAsia="仿宋_GB2312" w:cs="Times New Roman"/>
                <w:color w:val="auto"/>
                <w:sz w:val="20"/>
                <w:szCs w:val="20"/>
              </w:rPr>
            </w:pPr>
          </w:p>
        </w:tc>
        <w:tc>
          <w:tcPr>
            <w:tcW w:w="1038" w:type="dxa"/>
            <w:vMerge w:val="continue"/>
          </w:tcPr>
          <w:p>
            <w:pPr>
              <w:spacing w:line="0" w:lineRule="atLeast"/>
              <w:rPr>
                <w:rFonts w:hint="default" w:ascii="Times New Roman" w:hAnsi="Times New Roman" w:eastAsia="仿宋_GB2312" w:cs="Times New Roman"/>
                <w:color w:val="auto"/>
                <w:sz w:val="20"/>
                <w:szCs w:val="20"/>
              </w:rPr>
            </w:pPr>
          </w:p>
        </w:tc>
        <w:tc>
          <w:tcPr>
            <w:tcW w:w="1837" w:type="dxa"/>
          </w:tcPr>
          <w:p>
            <w:pPr>
              <w:spacing w:line="0" w:lineRule="atLeast"/>
              <w:rPr>
                <w:rFonts w:hint="default" w:ascii="Times New Roman" w:hAnsi="Times New Roman" w:eastAsia="仿宋_GB2312" w:cs="Times New Roman"/>
                <w:color w:val="auto"/>
                <w:sz w:val="20"/>
                <w:szCs w:val="20"/>
              </w:rPr>
            </w:pPr>
            <w:r>
              <w:rPr>
                <w:rFonts w:hint="default" w:ascii="Times New Roman" w:hAnsi="Times New Roman" w:eastAsia="仿宋_GB2312" w:cs="Times New Roman"/>
                <w:color w:val="auto"/>
                <w:sz w:val="20"/>
                <w:szCs w:val="20"/>
              </w:rPr>
              <w:t>指标 2：</w:t>
            </w:r>
          </w:p>
        </w:tc>
        <w:tc>
          <w:tcPr>
            <w:tcW w:w="900" w:type="dxa"/>
          </w:tcPr>
          <w:p>
            <w:pPr>
              <w:spacing w:line="0" w:lineRule="atLeast"/>
              <w:rPr>
                <w:rFonts w:hint="default" w:ascii="Times New Roman" w:hAnsi="Times New Roman" w:eastAsia="仿宋_GB2312" w:cs="Times New Roman"/>
                <w:color w:val="auto"/>
                <w:sz w:val="20"/>
                <w:szCs w:val="20"/>
              </w:rPr>
            </w:pPr>
          </w:p>
        </w:tc>
        <w:tc>
          <w:tcPr>
            <w:tcW w:w="1000" w:type="dxa"/>
          </w:tcPr>
          <w:p>
            <w:pPr>
              <w:spacing w:line="0" w:lineRule="atLeast"/>
              <w:rPr>
                <w:rFonts w:hint="default" w:ascii="Times New Roman" w:hAnsi="Times New Roman" w:eastAsia="仿宋_GB2312" w:cs="Times New Roman"/>
                <w:color w:val="auto"/>
                <w:sz w:val="20"/>
                <w:szCs w:val="20"/>
              </w:rPr>
            </w:pPr>
          </w:p>
        </w:tc>
        <w:tc>
          <w:tcPr>
            <w:tcW w:w="600" w:type="dxa"/>
          </w:tcPr>
          <w:p>
            <w:pPr>
              <w:spacing w:line="0" w:lineRule="atLeast"/>
              <w:rPr>
                <w:rFonts w:hint="default" w:ascii="Times New Roman" w:hAnsi="Times New Roman" w:eastAsia="仿宋_GB2312" w:cs="Times New Roman"/>
                <w:color w:val="auto"/>
                <w:sz w:val="20"/>
                <w:szCs w:val="20"/>
              </w:rPr>
            </w:pPr>
          </w:p>
        </w:tc>
        <w:tc>
          <w:tcPr>
            <w:tcW w:w="600" w:type="dxa"/>
          </w:tcPr>
          <w:p>
            <w:pPr>
              <w:spacing w:line="0" w:lineRule="atLeast"/>
              <w:rPr>
                <w:rFonts w:hint="default" w:ascii="Times New Roman" w:hAnsi="Times New Roman" w:eastAsia="仿宋_GB2312" w:cs="Times New Roman"/>
                <w:color w:val="auto"/>
                <w:sz w:val="20"/>
                <w:szCs w:val="20"/>
              </w:rPr>
            </w:pPr>
          </w:p>
        </w:tc>
        <w:tc>
          <w:tcPr>
            <w:tcW w:w="1529" w:type="dxa"/>
          </w:tcPr>
          <w:p>
            <w:pPr>
              <w:spacing w:line="0" w:lineRule="atLeast"/>
              <w:rPr>
                <w:rFonts w:hint="default" w:ascii="Times New Roman" w:hAnsi="Times New Roman" w:eastAsia="仿宋_GB2312"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9" w:type="dxa"/>
            <w:vMerge w:val="continue"/>
            <w:vAlign w:val="center"/>
          </w:tcPr>
          <w:p>
            <w:pPr>
              <w:spacing w:line="0" w:lineRule="atLeast"/>
              <w:jc w:val="center"/>
              <w:rPr>
                <w:rFonts w:hint="default" w:ascii="Times New Roman" w:hAnsi="Times New Roman" w:eastAsia="仿宋_GB2312" w:cs="Times New Roman"/>
                <w:color w:val="auto"/>
                <w:sz w:val="21"/>
                <w:szCs w:val="21"/>
              </w:rPr>
            </w:pPr>
          </w:p>
        </w:tc>
        <w:tc>
          <w:tcPr>
            <w:tcW w:w="1212" w:type="dxa"/>
            <w:vMerge w:val="continue"/>
          </w:tcPr>
          <w:p>
            <w:pPr>
              <w:spacing w:line="0" w:lineRule="atLeast"/>
              <w:rPr>
                <w:rFonts w:hint="default" w:ascii="Times New Roman" w:hAnsi="Times New Roman" w:eastAsia="仿宋_GB2312" w:cs="Times New Roman"/>
                <w:color w:val="auto"/>
                <w:sz w:val="20"/>
                <w:szCs w:val="20"/>
              </w:rPr>
            </w:pPr>
          </w:p>
        </w:tc>
        <w:tc>
          <w:tcPr>
            <w:tcW w:w="1038" w:type="dxa"/>
            <w:vMerge w:val="restart"/>
          </w:tcPr>
          <w:p>
            <w:pPr>
              <w:spacing w:line="0" w:lineRule="atLeast"/>
              <w:rPr>
                <w:rFonts w:hint="default" w:ascii="Times New Roman" w:hAnsi="Times New Roman" w:eastAsia="仿宋_GB2312" w:cs="Times New Roman"/>
                <w:color w:val="auto"/>
                <w:sz w:val="20"/>
                <w:szCs w:val="20"/>
              </w:rPr>
            </w:pPr>
            <w:r>
              <w:rPr>
                <w:rFonts w:hint="default" w:ascii="Times New Roman" w:hAnsi="Times New Roman" w:eastAsia="仿宋_GB2312" w:cs="Times New Roman"/>
                <w:color w:val="auto"/>
                <w:w w:val="99"/>
                <w:sz w:val="20"/>
                <w:szCs w:val="20"/>
              </w:rPr>
              <w:t>成本指标</w:t>
            </w:r>
          </w:p>
        </w:tc>
        <w:tc>
          <w:tcPr>
            <w:tcW w:w="1837" w:type="dxa"/>
          </w:tcPr>
          <w:p>
            <w:pPr>
              <w:spacing w:line="0" w:lineRule="atLeast"/>
              <w:rPr>
                <w:rFonts w:hint="default" w:ascii="Times New Roman" w:hAnsi="Times New Roman" w:eastAsia="仿宋_GB2312" w:cs="Times New Roman"/>
                <w:color w:val="auto"/>
                <w:sz w:val="20"/>
                <w:szCs w:val="20"/>
              </w:rPr>
            </w:pPr>
            <w:r>
              <w:rPr>
                <w:rFonts w:hint="default" w:ascii="Times New Roman" w:hAnsi="Times New Roman" w:eastAsia="仿宋_GB2312" w:cs="Times New Roman"/>
                <w:color w:val="auto"/>
                <w:sz w:val="20"/>
                <w:szCs w:val="20"/>
              </w:rPr>
              <w:t>指标 1：维护费支出率</w:t>
            </w:r>
          </w:p>
        </w:tc>
        <w:tc>
          <w:tcPr>
            <w:tcW w:w="900" w:type="dxa"/>
          </w:tcPr>
          <w:p>
            <w:pPr>
              <w:spacing w:line="0" w:lineRule="atLeast"/>
              <w:rPr>
                <w:rFonts w:hint="default" w:ascii="Times New Roman" w:hAnsi="Times New Roman" w:eastAsia="仿宋_GB2312" w:cs="Times New Roman"/>
                <w:color w:val="auto"/>
                <w:sz w:val="20"/>
                <w:szCs w:val="20"/>
              </w:rPr>
            </w:pPr>
            <w:r>
              <w:rPr>
                <w:rFonts w:hint="default" w:ascii="Times New Roman" w:hAnsi="Times New Roman" w:eastAsia="仿宋_GB2312" w:cs="Times New Roman"/>
                <w:color w:val="auto"/>
                <w:sz w:val="20"/>
                <w:szCs w:val="20"/>
              </w:rPr>
              <w:t>100%</w:t>
            </w:r>
          </w:p>
        </w:tc>
        <w:tc>
          <w:tcPr>
            <w:tcW w:w="1000" w:type="dxa"/>
          </w:tcPr>
          <w:p>
            <w:pPr>
              <w:spacing w:line="0" w:lineRule="atLeast"/>
              <w:rPr>
                <w:rFonts w:hint="default" w:ascii="Times New Roman" w:hAnsi="Times New Roman" w:eastAsia="仿宋_GB2312" w:cs="Times New Roman"/>
                <w:color w:val="auto"/>
                <w:sz w:val="20"/>
                <w:szCs w:val="20"/>
              </w:rPr>
            </w:pPr>
            <w:r>
              <w:rPr>
                <w:rFonts w:hint="default" w:ascii="Times New Roman" w:hAnsi="Times New Roman" w:eastAsia="仿宋_GB2312" w:cs="Times New Roman"/>
                <w:color w:val="auto"/>
                <w:sz w:val="20"/>
                <w:szCs w:val="20"/>
              </w:rPr>
              <w:t>100%</w:t>
            </w:r>
          </w:p>
        </w:tc>
        <w:tc>
          <w:tcPr>
            <w:tcW w:w="600" w:type="dxa"/>
          </w:tcPr>
          <w:p>
            <w:pPr>
              <w:spacing w:line="0" w:lineRule="atLeast"/>
              <w:rPr>
                <w:rFonts w:hint="default" w:ascii="Times New Roman" w:hAnsi="Times New Roman" w:eastAsia="仿宋_GB2312" w:cs="Times New Roman"/>
                <w:color w:val="auto"/>
                <w:sz w:val="20"/>
                <w:szCs w:val="20"/>
              </w:rPr>
            </w:pPr>
            <w:r>
              <w:rPr>
                <w:rFonts w:hint="default" w:ascii="Times New Roman" w:hAnsi="Times New Roman" w:eastAsia="仿宋_GB2312" w:cs="Times New Roman"/>
                <w:color w:val="auto"/>
                <w:sz w:val="20"/>
                <w:szCs w:val="20"/>
              </w:rPr>
              <w:t>6</w:t>
            </w:r>
          </w:p>
        </w:tc>
        <w:tc>
          <w:tcPr>
            <w:tcW w:w="600" w:type="dxa"/>
          </w:tcPr>
          <w:p>
            <w:pPr>
              <w:spacing w:line="0" w:lineRule="atLeast"/>
              <w:rPr>
                <w:rFonts w:hint="default" w:ascii="Times New Roman" w:hAnsi="Times New Roman" w:eastAsia="仿宋_GB2312" w:cs="Times New Roman"/>
                <w:color w:val="auto"/>
                <w:sz w:val="20"/>
                <w:szCs w:val="20"/>
              </w:rPr>
            </w:pPr>
            <w:r>
              <w:rPr>
                <w:rFonts w:hint="default" w:ascii="Times New Roman" w:hAnsi="Times New Roman" w:eastAsia="仿宋_GB2312" w:cs="Times New Roman"/>
                <w:color w:val="auto"/>
                <w:sz w:val="20"/>
                <w:szCs w:val="20"/>
              </w:rPr>
              <w:t>6</w:t>
            </w:r>
          </w:p>
        </w:tc>
        <w:tc>
          <w:tcPr>
            <w:tcW w:w="1529" w:type="dxa"/>
          </w:tcPr>
          <w:p>
            <w:pPr>
              <w:spacing w:line="0" w:lineRule="atLeast"/>
              <w:rPr>
                <w:rFonts w:hint="default" w:ascii="Times New Roman" w:hAnsi="Times New Roman" w:eastAsia="仿宋_GB2312"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9" w:type="dxa"/>
            <w:vMerge w:val="continue"/>
            <w:vAlign w:val="center"/>
          </w:tcPr>
          <w:p>
            <w:pPr>
              <w:spacing w:line="0" w:lineRule="atLeast"/>
              <w:jc w:val="center"/>
              <w:rPr>
                <w:rFonts w:hint="default" w:ascii="Times New Roman" w:hAnsi="Times New Roman" w:eastAsia="仿宋_GB2312" w:cs="Times New Roman"/>
                <w:color w:val="auto"/>
                <w:sz w:val="21"/>
                <w:szCs w:val="21"/>
              </w:rPr>
            </w:pPr>
          </w:p>
        </w:tc>
        <w:tc>
          <w:tcPr>
            <w:tcW w:w="1212" w:type="dxa"/>
            <w:vMerge w:val="continue"/>
          </w:tcPr>
          <w:p>
            <w:pPr>
              <w:spacing w:line="0" w:lineRule="atLeast"/>
              <w:rPr>
                <w:rFonts w:hint="default" w:ascii="Times New Roman" w:hAnsi="Times New Roman" w:eastAsia="仿宋_GB2312" w:cs="Times New Roman"/>
                <w:color w:val="auto"/>
                <w:sz w:val="20"/>
                <w:szCs w:val="20"/>
              </w:rPr>
            </w:pPr>
          </w:p>
        </w:tc>
        <w:tc>
          <w:tcPr>
            <w:tcW w:w="1038" w:type="dxa"/>
            <w:vMerge w:val="continue"/>
          </w:tcPr>
          <w:p>
            <w:pPr>
              <w:spacing w:line="0" w:lineRule="atLeast"/>
              <w:rPr>
                <w:rFonts w:hint="default" w:ascii="Times New Roman" w:hAnsi="Times New Roman" w:eastAsia="仿宋_GB2312" w:cs="Times New Roman"/>
                <w:color w:val="auto"/>
                <w:sz w:val="20"/>
                <w:szCs w:val="20"/>
              </w:rPr>
            </w:pPr>
          </w:p>
        </w:tc>
        <w:tc>
          <w:tcPr>
            <w:tcW w:w="1837" w:type="dxa"/>
          </w:tcPr>
          <w:p>
            <w:pPr>
              <w:spacing w:line="0" w:lineRule="atLeast"/>
              <w:rPr>
                <w:rFonts w:hint="default" w:ascii="Times New Roman" w:hAnsi="Times New Roman" w:eastAsia="仿宋_GB2312" w:cs="Times New Roman"/>
                <w:color w:val="auto"/>
                <w:sz w:val="20"/>
                <w:szCs w:val="20"/>
              </w:rPr>
            </w:pPr>
            <w:r>
              <w:rPr>
                <w:rFonts w:hint="default" w:ascii="Times New Roman" w:hAnsi="Times New Roman" w:eastAsia="仿宋_GB2312" w:cs="Times New Roman"/>
                <w:color w:val="auto"/>
                <w:sz w:val="20"/>
                <w:szCs w:val="20"/>
              </w:rPr>
              <w:t>指标 2：三公经费不超过3.5万</w:t>
            </w:r>
          </w:p>
        </w:tc>
        <w:tc>
          <w:tcPr>
            <w:tcW w:w="900" w:type="dxa"/>
          </w:tcPr>
          <w:p>
            <w:pPr>
              <w:spacing w:line="0" w:lineRule="atLeast"/>
              <w:rPr>
                <w:rFonts w:hint="default" w:ascii="Times New Roman" w:hAnsi="Times New Roman" w:eastAsia="仿宋_GB2312" w:cs="Times New Roman"/>
                <w:color w:val="auto"/>
                <w:sz w:val="20"/>
                <w:szCs w:val="20"/>
              </w:rPr>
            </w:pPr>
            <w:r>
              <w:rPr>
                <w:rFonts w:hint="default" w:ascii="Times New Roman" w:hAnsi="Times New Roman" w:eastAsia="仿宋_GB2312" w:cs="Times New Roman"/>
                <w:color w:val="auto"/>
                <w:sz w:val="20"/>
                <w:szCs w:val="20"/>
              </w:rPr>
              <w:t>100%</w:t>
            </w:r>
          </w:p>
        </w:tc>
        <w:tc>
          <w:tcPr>
            <w:tcW w:w="1000" w:type="dxa"/>
          </w:tcPr>
          <w:p>
            <w:pPr>
              <w:spacing w:line="0" w:lineRule="atLeast"/>
              <w:rPr>
                <w:rFonts w:hint="default" w:ascii="Times New Roman" w:hAnsi="Times New Roman" w:eastAsia="仿宋_GB2312" w:cs="Times New Roman"/>
                <w:color w:val="auto"/>
                <w:sz w:val="20"/>
                <w:szCs w:val="20"/>
              </w:rPr>
            </w:pPr>
            <w:r>
              <w:rPr>
                <w:rFonts w:hint="default" w:ascii="Times New Roman" w:hAnsi="Times New Roman" w:eastAsia="仿宋_GB2312" w:cs="Times New Roman"/>
                <w:color w:val="auto"/>
                <w:sz w:val="20"/>
                <w:szCs w:val="20"/>
              </w:rPr>
              <w:t>100%</w:t>
            </w:r>
          </w:p>
        </w:tc>
        <w:tc>
          <w:tcPr>
            <w:tcW w:w="600" w:type="dxa"/>
          </w:tcPr>
          <w:p>
            <w:pPr>
              <w:spacing w:line="0" w:lineRule="atLeast"/>
              <w:rPr>
                <w:rFonts w:hint="default" w:ascii="Times New Roman" w:hAnsi="Times New Roman" w:eastAsia="仿宋_GB2312" w:cs="Times New Roman"/>
                <w:color w:val="auto"/>
                <w:sz w:val="20"/>
                <w:szCs w:val="20"/>
              </w:rPr>
            </w:pPr>
            <w:r>
              <w:rPr>
                <w:rFonts w:hint="default" w:ascii="Times New Roman" w:hAnsi="Times New Roman" w:eastAsia="仿宋_GB2312" w:cs="Times New Roman"/>
                <w:color w:val="auto"/>
                <w:sz w:val="20"/>
                <w:szCs w:val="20"/>
              </w:rPr>
              <w:t>6.5</w:t>
            </w:r>
          </w:p>
        </w:tc>
        <w:tc>
          <w:tcPr>
            <w:tcW w:w="600" w:type="dxa"/>
          </w:tcPr>
          <w:p>
            <w:pPr>
              <w:spacing w:line="0" w:lineRule="atLeast"/>
              <w:rPr>
                <w:rFonts w:hint="default" w:ascii="Times New Roman" w:hAnsi="Times New Roman" w:eastAsia="仿宋_GB2312" w:cs="Times New Roman"/>
                <w:color w:val="auto"/>
                <w:sz w:val="20"/>
                <w:szCs w:val="20"/>
              </w:rPr>
            </w:pPr>
            <w:r>
              <w:rPr>
                <w:rFonts w:hint="default" w:ascii="Times New Roman" w:hAnsi="Times New Roman" w:eastAsia="仿宋_GB2312" w:cs="Times New Roman"/>
                <w:color w:val="auto"/>
                <w:sz w:val="20"/>
                <w:szCs w:val="20"/>
              </w:rPr>
              <w:t>6.5</w:t>
            </w:r>
          </w:p>
        </w:tc>
        <w:tc>
          <w:tcPr>
            <w:tcW w:w="1529" w:type="dxa"/>
          </w:tcPr>
          <w:p>
            <w:pPr>
              <w:spacing w:line="0" w:lineRule="atLeast"/>
              <w:rPr>
                <w:rFonts w:hint="default" w:ascii="Times New Roman" w:hAnsi="Times New Roman" w:eastAsia="仿宋_GB2312"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9" w:type="dxa"/>
            <w:vMerge w:val="continue"/>
            <w:vAlign w:val="center"/>
          </w:tcPr>
          <w:p>
            <w:pPr>
              <w:spacing w:line="0" w:lineRule="atLeast"/>
              <w:jc w:val="center"/>
              <w:rPr>
                <w:rFonts w:hint="default" w:ascii="Times New Roman" w:hAnsi="Times New Roman" w:eastAsia="仿宋_GB2312" w:cs="Times New Roman"/>
                <w:color w:val="auto"/>
                <w:sz w:val="21"/>
                <w:szCs w:val="21"/>
              </w:rPr>
            </w:pPr>
          </w:p>
        </w:tc>
        <w:tc>
          <w:tcPr>
            <w:tcW w:w="1212" w:type="dxa"/>
            <w:vMerge w:val="restart"/>
            <w:vAlign w:val="center"/>
          </w:tcPr>
          <w:p>
            <w:pPr>
              <w:spacing w:line="210" w:lineRule="exact"/>
              <w:ind w:left="100"/>
              <w:jc w:val="center"/>
              <w:rPr>
                <w:rFonts w:hint="default" w:ascii="Times New Roman" w:hAnsi="Times New Roman" w:eastAsia="仿宋_GB2312" w:cs="Times New Roman"/>
                <w:color w:val="auto"/>
                <w:sz w:val="20"/>
                <w:szCs w:val="20"/>
              </w:rPr>
            </w:pPr>
            <w:r>
              <w:rPr>
                <w:rFonts w:hint="default" w:ascii="Times New Roman" w:hAnsi="Times New Roman" w:eastAsia="仿宋_GB2312" w:cs="Times New Roman"/>
                <w:color w:val="auto"/>
                <w:sz w:val="20"/>
                <w:szCs w:val="20"/>
              </w:rPr>
              <w:t>效益指标</w:t>
            </w:r>
            <w:r>
              <w:rPr>
                <w:rFonts w:hint="default" w:ascii="Times New Roman" w:hAnsi="Times New Roman" w:eastAsia="仿宋_GB2312" w:cs="Times New Roman"/>
                <w:color w:val="auto"/>
                <w:w w:val="99"/>
                <w:sz w:val="20"/>
                <w:szCs w:val="20"/>
              </w:rPr>
              <w:t>（30 分）</w:t>
            </w:r>
          </w:p>
        </w:tc>
        <w:tc>
          <w:tcPr>
            <w:tcW w:w="1038" w:type="dxa"/>
            <w:vMerge w:val="restart"/>
            <w:vAlign w:val="bottom"/>
          </w:tcPr>
          <w:p>
            <w:pPr>
              <w:spacing w:line="240" w:lineRule="exact"/>
              <w:jc w:val="center"/>
              <w:rPr>
                <w:rFonts w:hint="default" w:ascii="Times New Roman" w:hAnsi="Times New Roman" w:eastAsia="仿宋_GB2312" w:cs="Times New Roman"/>
                <w:color w:val="auto"/>
                <w:sz w:val="20"/>
                <w:szCs w:val="20"/>
              </w:rPr>
            </w:pPr>
            <w:r>
              <w:rPr>
                <w:rFonts w:hint="default" w:ascii="Times New Roman" w:hAnsi="Times New Roman" w:eastAsia="仿宋_GB2312" w:cs="Times New Roman"/>
                <w:color w:val="auto"/>
                <w:w w:val="98"/>
                <w:sz w:val="20"/>
                <w:szCs w:val="20"/>
              </w:rPr>
              <w:t>经济效益指标</w:t>
            </w:r>
          </w:p>
        </w:tc>
        <w:tc>
          <w:tcPr>
            <w:tcW w:w="1837" w:type="dxa"/>
          </w:tcPr>
          <w:p>
            <w:pPr>
              <w:spacing w:line="0" w:lineRule="atLeast"/>
              <w:rPr>
                <w:rFonts w:hint="default" w:ascii="Times New Roman" w:hAnsi="Times New Roman" w:eastAsia="仿宋_GB2312" w:cs="Times New Roman"/>
                <w:color w:val="auto"/>
                <w:sz w:val="20"/>
                <w:szCs w:val="20"/>
              </w:rPr>
            </w:pPr>
            <w:r>
              <w:rPr>
                <w:rFonts w:hint="default" w:ascii="Times New Roman" w:hAnsi="Times New Roman" w:eastAsia="仿宋_GB2312" w:cs="Times New Roman"/>
                <w:color w:val="auto"/>
                <w:sz w:val="20"/>
                <w:szCs w:val="20"/>
              </w:rPr>
              <w:t>指标 1：资金到位率</w:t>
            </w:r>
          </w:p>
        </w:tc>
        <w:tc>
          <w:tcPr>
            <w:tcW w:w="900" w:type="dxa"/>
          </w:tcPr>
          <w:p>
            <w:pPr>
              <w:spacing w:line="0" w:lineRule="atLeast"/>
              <w:rPr>
                <w:rFonts w:hint="default" w:ascii="Times New Roman" w:hAnsi="Times New Roman" w:eastAsia="仿宋_GB2312" w:cs="Times New Roman"/>
                <w:color w:val="auto"/>
                <w:sz w:val="20"/>
                <w:szCs w:val="20"/>
              </w:rPr>
            </w:pPr>
            <w:r>
              <w:rPr>
                <w:rFonts w:hint="default" w:ascii="Times New Roman" w:hAnsi="Times New Roman" w:eastAsia="仿宋_GB2312" w:cs="Times New Roman"/>
                <w:color w:val="auto"/>
                <w:sz w:val="20"/>
                <w:szCs w:val="20"/>
              </w:rPr>
              <w:t>100%</w:t>
            </w:r>
          </w:p>
        </w:tc>
        <w:tc>
          <w:tcPr>
            <w:tcW w:w="1000" w:type="dxa"/>
          </w:tcPr>
          <w:p>
            <w:pPr>
              <w:spacing w:line="0" w:lineRule="atLeast"/>
              <w:rPr>
                <w:rFonts w:hint="default" w:ascii="Times New Roman" w:hAnsi="Times New Roman" w:eastAsia="仿宋_GB2312" w:cs="Times New Roman"/>
                <w:color w:val="auto"/>
                <w:sz w:val="20"/>
                <w:szCs w:val="20"/>
              </w:rPr>
            </w:pPr>
            <w:r>
              <w:rPr>
                <w:rFonts w:hint="default" w:ascii="Times New Roman" w:hAnsi="Times New Roman" w:eastAsia="仿宋_GB2312" w:cs="Times New Roman"/>
                <w:color w:val="auto"/>
                <w:sz w:val="20"/>
                <w:szCs w:val="20"/>
              </w:rPr>
              <w:t>100%</w:t>
            </w:r>
          </w:p>
        </w:tc>
        <w:tc>
          <w:tcPr>
            <w:tcW w:w="600" w:type="dxa"/>
          </w:tcPr>
          <w:p>
            <w:pPr>
              <w:spacing w:line="0" w:lineRule="atLeast"/>
              <w:rPr>
                <w:rFonts w:hint="default" w:ascii="Times New Roman" w:hAnsi="Times New Roman" w:eastAsia="仿宋_GB2312" w:cs="Times New Roman"/>
                <w:color w:val="auto"/>
                <w:sz w:val="20"/>
                <w:szCs w:val="20"/>
              </w:rPr>
            </w:pPr>
            <w:r>
              <w:rPr>
                <w:rFonts w:hint="default" w:ascii="Times New Roman" w:hAnsi="Times New Roman" w:eastAsia="仿宋_GB2312" w:cs="Times New Roman"/>
                <w:color w:val="auto"/>
                <w:sz w:val="20"/>
                <w:szCs w:val="20"/>
              </w:rPr>
              <w:t>10</w:t>
            </w:r>
          </w:p>
        </w:tc>
        <w:tc>
          <w:tcPr>
            <w:tcW w:w="600" w:type="dxa"/>
          </w:tcPr>
          <w:p>
            <w:pPr>
              <w:spacing w:line="0" w:lineRule="atLeast"/>
              <w:rPr>
                <w:rFonts w:hint="default" w:ascii="Times New Roman" w:hAnsi="Times New Roman" w:eastAsia="仿宋_GB2312" w:cs="Times New Roman"/>
                <w:color w:val="auto"/>
                <w:sz w:val="20"/>
                <w:szCs w:val="20"/>
              </w:rPr>
            </w:pPr>
            <w:r>
              <w:rPr>
                <w:rFonts w:hint="default" w:ascii="Times New Roman" w:hAnsi="Times New Roman" w:eastAsia="仿宋_GB2312" w:cs="Times New Roman"/>
                <w:color w:val="auto"/>
                <w:sz w:val="20"/>
                <w:szCs w:val="20"/>
              </w:rPr>
              <w:t>10</w:t>
            </w:r>
          </w:p>
        </w:tc>
        <w:tc>
          <w:tcPr>
            <w:tcW w:w="1529" w:type="dxa"/>
          </w:tcPr>
          <w:p>
            <w:pPr>
              <w:spacing w:line="0" w:lineRule="atLeast"/>
              <w:rPr>
                <w:rFonts w:hint="default" w:ascii="Times New Roman" w:hAnsi="Times New Roman" w:eastAsia="仿宋_GB2312"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9" w:type="dxa"/>
            <w:vMerge w:val="continue"/>
            <w:vAlign w:val="center"/>
          </w:tcPr>
          <w:p>
            <w:pPr>
              <w:spacing w:line="0" w:lineRule="atLeast"/>
              <w:jc w:val="center"/>
              <w:rPr>
                <w:rFonts w:hint="default" w:ascii="Times New Roman" w:hAnsi="Times New Roman" w:eastAsia="仿宋_GB2312" w:cs="Times New Roman"/>
                <w:color w:val="auto"/>
                <w:sz w:val="21"/>
                <w:szCs w:val="21"/>
              </w:rPr>
            </w:pPr>
          </w:p>
        </w:tc>
        <w:tc>
          <w:tcPr>
            <w:tcW w:w="1212" w:type="dxa"/>
            <w:vMerge w:val="continue"/>
            <w:vAlign w:val="bottom"/>
          </w:tcPr>
          <w:p>
            <w:pPr>
              <w:spacing w:line="0" w:lineRule="atLeast"/>
              <w:rPr>
                <w:rFonts w:hint="default" w:ascii="Times New Roman" w:hAnsi="Times New Roman" w:eastAsia="仿宋_GB2312" w:cs="Times New Roman"/>
                <w:color w:val="auto"/>
                <w:sz w:val="20"/>
                <w:szCs w:val="20"/>
              </w:rPr>
            </w:pPr>
          </w:p>
        </w:tc>
        <w:tc>
          <w:tcPr>
            <w:tcW w:w="1038" w:type="dxa"/>
            <w:vMerge w:val="continue"/>
          </w:tcPr>
          <w:p>
            <w:pPr>
              <w:spacing w:line="0" w:lineRule="atLeast"/>
              <w:rPr>
                <w:rFonts w:hint="default" w:ascii="Times New Roman" w:hAnsi="Times New Roman" w:eastAsia="仿宋_GB2312" w:cs="Times New Roman"/>
                <w:color w:val="auto"/>
                <w:sz w:val="20"/>
                <w:szCs w:val="20"/>
              </w:rPr>
            </w:pPr>
          </w:p>
        </w:tc>
        <w:tc>
          <w:tcPr>
            <w:tcW w:w="1837" w:type="dxa"/>
          </w:tcPr>
          <w:p>
            <w:pPr>
              <w:spacing w:line="0" w:lineRule="atLeast"/>
              <w:rPr>
                <w:rFonts w:hint="default" w:ascii="Times New Roman" w:hAnsi="Times New Roman" w:eastAsia="仿宋_GB2312" w:cs="Times New Roman"/>
                <w:color w:val="auto"/>
                <w:sz w:val="20"/>
                <w:szCs w:val="20"/>
              </w:rPr>
            </w:pPr>
            <w:r>
              <w:rPr>
                <w:rFonts w:hint="default" w:ascii="Times New Roman" w:hAnsi="Times New Roman" w:eastAsia="仿宋_GB2312" w:cs="Times New Roman"/>
                <w:color w:val="auto"/>
                <w:sz w:val="20"/>
                <w:szCs w:val="20"/>
              </w:rPr>
              <w:t>指标 2：</w:t>
            </w:r>
          </w:p>
        </w:tc>
        <w:tc>
          <w:tcPr>
            <w:tcW w:w="900" w:type="dxa"/>
          </w:tcPr>
          <w:p>
            <w:pPr>
              <w:spacing w:line="0" w:lineRule="atLeast"/>
              <w:rPr>
                <w:rFonts w:hint="default" w:ascii="Times New Roman" w:hAnsi="Times New Roman" w:eastAsia="仿宋_GB2312" w:cs="Times New Roman"/>
                <w:color w:val="auto"/>
                <w:sz w:val="20"/>
                <w:szCs w:val="20"/>
              </w:rPr>
            </w:pPr>
          </w:p>
        </w:tc>
        <w:tc>
          <w:tcPr>
            <w:tcW w:w="1000" w:type="dxa"/>
          </w:tcPr>
          <w:p>
            <w:pPr>
              <w:spacing w:line="0" w:lineRule="atLeast"/>
              <w:rPr>
                <w:rFonts w:hint="default" w:ascii="Times New Roman" w:hAnsi="Times New Roman" w:eastAsia="仿宋_GB2312" w:cs="Times New Roman"/>
                <w:color w:val="auto"/>
                <w:sz w:val="20"/>
                <w:szCs w:val="20"/>
              </w:rPr>
            </w:pPr>
          </w:p>
        </w:tc>
        <w:tc>
          <w:tcPr>
            <w:tcW w:w="600" w:type="dxa"/>
          </w:tcPr>
          <w:p>
            <w:pPr>
              <w:spacing w:line="0" w:lineRule="atLeast"/>
              <w:rPr>
                <w:rFonts w:hint="default" w:ascii="Times New Roman" w:hAnsi="Times New Roman" w:eastAsia="仿宋_GB2312" w:cs="Times New Roman"/>
                <w:color w:val="auto"/>
                <w:sz w:val="20"/>
                <w:szCs w:val="20"/>
              </w:rPr>
            </w:pPr>
          </w:p>
        </w:tc>
        <w:tc>
          <w:tcPr>
            <w:tcW w:w="600" w:type="dxa"/>
          </w:tcPr>
          <w:p>
            <w:pPr>
              <w:spacing w:line="0" w:lineRule="atLeast"/>
              <w:rPr>
                <w:rFonts w:hint="default" w:ascii="Times New Roman" w:hAnsi="Times New Roman" w:eastAsia="仿宋_GB2312" w:cs="Times New Roman"/>
                <w:color w:val="auto"/>
                <w:sz w:val="20"/>
                <w:szCs w:val="20"/>
              </w:rPr>
            </w:pPr>
          </w:p>
        </w:tc>
        <w:tc>
          <w:tcPr>
            <w:tcW w:w="1529" w:type="dxa"/>
          </w:tcPr>
          <w:p>
            <w:pPr>
              <w:spacing w:line="0" w:lineRule="atLeast"/>
              <w:rPr>
                <w:rFonts w:hint="default" w:ascii="Times New Roman" w:hAnsi="Times New Roman" w:eastAsia="仿宋_GB2312"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1069" w:type="dxa"/>
            <w:vMerge w:val="continue"/>
            <w:vAlign w:val="center"/>
          </w:tcPr>
          <w:p>
            <w:pPr>
              <w:spacing w:line="0" w:lineRule="atLeast"/>
              <w:jc w:val="center"/>
              <w:rPr>
                <w:rFonts w:hint="default" w:ascii="Times New Roman" w:hAnsi="Times New Roman" w:eastAsia="仿宋_GB2312" w:cs="Times New Roman"/>
                <w:color w:val="auto"/>
                <w:sz w:val="21"/>
                <w:szCs w:val="21"/>
              </w:rPr>
            </w:pPr>
          </w:p>
        </w:tc>
        <w:tc>
          <w:tcPr>
            <w:tcW w:w="1212" w:type="dxa"/>
            <w:vMerge w:val="continue"/>
          </w:tcPr>
          <w:p>
            <w:pPr>
              <w:spacing w:line="0" w:lineRule="atLeast"/>
              <w:rPr>
                <w:rFonts w:hint="default" w:ascii="Times New Roman" w:hAnsi="Times New Roman" w:eastAsia="仿宋_GB2312" w:cs="Times New Roman"/>
                <w:color w:val="auto"/>
                <w:sz w:val="20"/>
                <w:szCs w:val="20"/>
              </w:rPr>
            </w:pPr>
          </w:p>
        </w:tc>
        <w:tc>
          <w:tcPr>
            <w:tcW w:w="1038" w:type="dxa"/>
            <w:vMerge w:val="restart"/>
            <w:vAlign w:val="bottom"/>
          </w:tcPr>
          <w:p>
            <w:pPr>
              <w:spacing w:line="240" w:lineRule="exact"/>
              <w:jc w:val="center"/>
              <w:rPr>
                <w:rFonts w:hint="default" w:ascii="Times New Roman" w:hAnsi="Times New Roman" w:eastAsia="仿宋_GB2312" w:cs="Times New Roman"/>
                <w:color w:val="auto"/>
                <w:sz w:val="20"/>
                <w:szCs w:val="20"/>
              </w:rPr>
            </w:pPr>
            <w:r>
              <w:rPr>
                <w:rFonts w:hint="default" w:ascii="Times New Roman" w:hAnsi="Times New Roman" w:eastAsia="仿宋_GB2312" w:cs="Times New Roman"/>
                <w:color w:val="auto"/>
                <w:w w:val="98"/>
                <w:sz w:val="20"/>
                <w:szCs w:val="20"/>
              </w:rPr>
              <w:t>社会效益指标</w:t>
            </w:r>
          </w:p>
        </w:tc>
        <w:tc>
          <w:tcPr>
            <w:tcW w:w="1837" w:type="dxa"/>
          </w:tcPr>
          <w:p>
            <w:pPr>
              <w:spacing w:line="0" w:lineRule="atLeast"/>
              <w:rPr>
                <w:rFonts w:hint="default" w:ascii="Times New Roman" w:hAnsi="Times New Roman" w:eastAsia="仿宋_GB2312" w:cs="Times New Roman"/>
                <w:color w:val="auto"/>
                <w:sz w:val="20"/>
                <w:szCs w:val="20"/>
              </w:rPr>
            </w:pPr>
            <w:r>
              <w:rPr>
                <w:rFonts w:hint="default" w:ascii="Times New Roman" w:hAnsi="Times New Roman" w:eastAsia="仿宋_GB2312" w:cs="Times New Roman"/>
                <w:color w:val="auto"/>
                <w:sz w:val="20"/>
                <w:szCs w:val="20"/>
              </w:rPr>
              <w:t>指标 1：群众免费收听率</w:t>
            </w:r>
          </w:p>
        </w:tc>
        <w:tc>
          <w:tcPr>
            <w:tcW w:w="900" w:type="dxa"/>
          </w:tcPr>
          <w:p>
            <w:pPr>
              <w:spacing w:line="0" w:lineRule="atLeast"/>
              <w:rPr>
                <w:rFonts w:hint="default" w:ascii="Times New Roman" w:hAnsi="Times New Roman" w:eastAsia="仿宋_GB2312" w:cs="Times New Roman"/>
                <w:color w:val="auto"/>
                <w:sz w:val="20"/>
                <w:szCs w:val="20"/>
              </w:rPr>
            </w:pPr>
            <w:r>
              <w:rPr>
                <w:rFonts w:hint="default" w:ascii="Times New Roman" w:hAnsi="Times New Roman" w:eastAsia="仿宋_GB2312" w:cs="Times New Roman"/>
                <w:color w:val="auto"/>
                <w:sz w:val="20"/>
                <w:szCs w:val="20"/>
              </w:rPr>
              <w:t>100%</w:t>
            </w:r>
          </w:p>
        </w:tc>
        <w:tc>
          <w:tcPr>
            <w:tcW w:w="1000" w:type="dxa"/>
          </w:tcPr>
          <w:p>
            <w:pPr>
              <w:spacing w:line="0" w:lineRule="atLeast"/>
              <w:rPr>
                <w:rFonts w:hint="default" w:ascii="Times New Roman" w:hAnsi="Times New Roman" w:eastAsia="仿宋_GB2312" w:cs="Times New Roman"/>
                <w:color w:val="auto"/>
                <w:sz w:val="20"/>
                <w:szCs w:val="20"/>
              </w:rPr>
            </w:pPr>
            <w:r>
              <w:rPr>
                <w:rFonts w:hint="default" w:ascii="Times New Roman" w:hAnsi="Times New Roman" w:eastAsia="仿宋_GB2312" w:cs="Times New Roman"/>
                <w:color w:val="auto"/>
                <w:sz w:val="20"/>
                <w:szCs w:val="20"/>
              </w:rPr>
              <w:t>100%</w:t>
            </w:r>
          </w:p>
        </w:tc>
        <w:tc>
          <w:tcPr>
            <w:tcW w:w="600" w:type="dxa"/>
          </w:tcPr>
          <w:p>
            <w:pPr>
              <w:spacing w:line="0" w:lineRule="atLeast"/>
              <w:rPr>
                <w:rFonts w:hint="default" w:ascii="Times New Roman" w:hAnsi="Times New Roman" w:eastAsia="仿宋_GB2312" w:cs="Times New Roman"/>
                <w:color w:val="auto"/>
                <w:sz w:val="20"/>
                <w:szCs w:val="20"/>
              </w:rPr>
            </w:pPr>
            <w:r>
              <w:rPr>
                <w:rFonts w:hint="default" w:ascii="Times New Roman" w:hAnsi="Times New Roman" w:eastAsia="仿宋_GB2312" w:cs="Times New Roman"/>
                <w:color w:val="auto"/>
                <w:sz w:val="20"/>
                <w:szCs w:val="20"/>
              </w:rPr>
              <w:t>10</w:t>
            </w:r>
          </w:p>
        </w:tc>
        <w:tc>
          <w:tcPr>
            <w:tcW w:w="600" w:type="dxa"/>
          </w:tcPr>
          <w:p>
            <w:pPr>
              <w:spacing w:line="0" w:lineRule="atLeast"/>
              <w:rPr>
                <w:rFonts w:hint="default" w:ascii="Times New Roman" w:hAnsi="Times New Roman" w:eastAsia="仿宋_GB2312" w:cs="Times New Roman"/>
                <w:color w:val="auto"/>
                <w:sz w:val="20"/>
                <w:szCs w:val="20"/>
              </w:rPr>
            </w:pPr>
            <w:r>
              <w:rPr>
                <w:rFonts w:hint="default" w:ascii="Times New Roman" w:hAnsi="Times New Roman" w:eastAsia="仿宋_GB2312" w:cs="Times New Roman"/>
                <w:color w:val="auto"/>
                <w:sz w:val="20"/>
                <w:szCs w:val="20"/>
              </w:rPr>
              <w:t>10</w:t>
            </w:r>
          </w:p>
        </w:tc>
        <w:tc>
          <w:tcPr>
            <w:tcW w:w="1529" w:type="dxa"/>
          </w:tcPr>
          <w:p>
            <w:pPr>
              <w:spacing w:line="0" w:lineRule="atLeast"/>
              <w:rPr>
                <w:rFonts w:hint="default" w:ascii="Times New Roman" w:hAnsi="Times New Roman" w:eastAsia="仿宋_GB2312"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1069" w:type="dxa"/>
            <w:vMerge w:val="continue"/>
            <w:vAlign w:val="center"/>
          </w:tcPr>
          <w:p>
            <w:pPr>
              <w:spacing w:line="0" w:lineRule="atLeast"/>
              <w:jc w:val="center"/>
              <w:rPr>
                <w:rFonts w:hint="default" w:ascii="Times New Roman" w:hAnsi="Times New Roman" w:eastAsia="仿宋_GB2312" w:cs="Times New Roman"/>
                <w:color w:val="auto"/>
                <w:sz w:val="21"/>
                <w:szCs w:val="21"/>
              </w:rPr>
            </w:pPr>
          </w:p>
        </w:tc>
        <w:tc>
          <w:tcPr>
            <w:tcW w:w="1212" w:type="dxa"/>
            <w:vMerge w:val="continue"/>
          </w:tcPr>
          <w:p>
            <w:pPr>
              <w:spacing w:line="0" w:lineRule="atLeast"/>
              <w:rPr>
                <w:rFonts w:hint="default" w:ascii="Times New Roman" w:hAnsi="Times New Roman" w:eastAsia="仿宋_GB2312" w:cs="Times New Roman"/>
                <w:color w:val="auto"/>
                <w:sz w:val="20"/>
                <w:szCs w:val="20"/>
              </w:rPr>
            </w:pPr>
          </w:p>
        </w:tc>
        <w:tc>
          <w:tcPr>
            <w:tcW w:w="1038" w:type="dxa"/>
            <w:vMerge w:val="continue"/>
          </w:tcPr>
          <w:p>
            <w:pPr>
              <w:spacing w:line="0" w:lineRule="atLeast"/>
              <w:rPr>
                <w:rFonts w:hint="default" w:ascii="Times New Roman" w:hAnsi="Times New Roman" w:eastAsia="仿宋_GB2312" w:cs="Times New Roman"/>
                <w:color w:val="auto"/>
                <w:sz w:val="20"/>
                <w:szCs w:val="20"/>
              </w:rPr>
            </w:pPr>
          </w:p>
        </w:tc>
        <w:tc>
          <w:tcPr>
            <w:tcW w:w="1837" w:type="dxa"/>
          </w:tcPr>
          <w:p>
            <w:pPr>
              <w:spacing w:line="0" w:lineRule="atLeast"/>
              <w:rPr>
                <w:rFonts w:hint="default" w:ascii="Times New Roman" w:hAnsi="Times New Roman" w:eastAsia="仿宋_GB2312" w:cs="Times New Roman"/>
                <w:color w:val="auto"/>
                <w:sz w:val="20"/>
                <w:szCs w:val="20"/>
              </w:rPr>
            </w:pPr>
            <w:r>
              <w:rPr>
                <w:rFonts w:hint="default" w:ascii="Times New Roman" w:hAnsi="Times New Roman" w:eastAsia="仿宋_GB2312" w:cs="Times New Roman"/>
                <w:color w:val="auto"/>
                <w:sz w:val="20"/>
                <w:szCs w:val="20"/>
              </w:rPr>
              <w:t>指标 2：</w:t>
            </w:r>
          </w:p>
        </w:tc>
        <w:tc>
          <w:tcPr>
            <w:tcW w:w="900" w:type="dxa"/>
          </w:tcPr>
          <w:p>
            <w:pPr>
              <w:spacing w:line="0" w:lineRule="atLeast"/>
              <w:rPr>
                <w:rFonts w:hint="default" w:ascii="Times New Roman" w:hAnsi="Times New Roman" w:eastAsia="仿宋_GB2312" w:cs="Times New Roman"/>
                <w:color w:val="auto"/>
                <w:sz w:val="20"/>
                <w:szCs w:val="20"/>
              </w:rPr>
            </w:pPr>
          </w:p>
        </w:tc>
        <w:tc>
          <w:tcPr>
            <w:tcW w:w="1000" w:type="dxa"/>
          </w:tcPr>
          <w:p>
            <w:pPr>
              <w:spacing w:line="0" w:lineRule="atLeast"/>
              <w:rPr>
                <w:rFonts w:hint="default" w:ascii="Times New Roman" w:hAnsi="Times New Roman" w:eastAsia="仿宋_GB2312" w:cs="Times New Roman"/>
                <w:color w:val="auto"/>
                <w:sz w:val="20"/>
                <w:szCs w:val="20"/>
              </w:rPr>
            </w:pPr>
          </w:p>
        </w:tc>
        <w:tc>
          <w:tcPr>
            <w:tcW w:w="600" w:type="dxa"/>
          </w:tcPr>
          <w:p>
            <w:pPr>
              <w:spacing w:line="0" w:lineRule="atLeast"/>
              <w:rPr>
                <w:rFonts w:hint="default" w:ascii="Times New Roman" w:hAnsi="Times New Roman" w:eastAsia="仿宋_GB2312" w:cs="Times New Roman"/>
                <w:color w:val="auto"/>
                <w:sz w:val="20"/>
                <w:szCs w:val="20"/>
              </w:rPr>
            </w:pPr>
          </w:p>
        </w:tc>
        <w:tc>
          <w:tcPr>
            <w:tcW w:w="600" w:type="dxa"/>
          </w:tcPr>
          <w:p>
            <w:pPr>
              <w:spacing w:line="0" w:lineRule="atLeast"/>
              <w:rPr>
                <w:rFonts w:hint="default" w:ascii="Times New Roman" w:hAnsi="Times New Roman" w:eastAsia="仿宋_GB2312" w:cs="Times New Roman"/>
                <w:color w:val="auto"/>
                <w:sz w:val="20"/>
                <w:szCs w:val="20"/>
              </w:rPr>
            </w:pPr>
          </w:p>
        </w:tc>
        <w:tc>
          <w:tcPr>
            <w:tcW w:w="1529" w:type="dxa"/>
          </w:tcPr>
          <w:p>
            <w:pPr>
              <w:spacing w:line="0" w:lineRule="atLeast"/>
              <w:rPr>
                <w:rFonts w:hint="default" w:ascii="Times New Roman" w:hAnsi="Times New Roman" w:eastAsia="仿宋_GB2312"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1069" w:type="dxa"/>
            <w:vMerge w:val="continue"/>
            <w:vAlign w:val="center"/>
          </w:tcPr>
          <w:p>
            <w:pPr>
              <w:spacing w:line="0" w:lineRule="atLeast"/>
              <w:jc w:val="center"/>
              <w:rPr>
                <w:rFonts w:hint="default" w:ascii="Times New Roman" w:hAnsi="Times New Roman" w:eastAsia="仿宋_GB2312" w:cs="Times New Roman"/>
                <w:color w:val="auto"/>
                <w:sz w:val="21"/>
                <w:szCs w:val="21"/>
              </w:rPr>
            </w:pPr>
          </w:p>
        </w:tc>
        <w:tc>
          <w:tcPr>
            <w:tcW w:w="1212" w:type="dxa"/>
            <w:vMerge w:val="continue"/>
          </w:tcPr>
          <w:p>
            <w:pPr>
              <w:spacing w:line="0" w:lineRule="atLeast"/>
              <w:rPr>
                <w:rFonts w:hint="default" w:ascii="Times New Roman" w:hAnsi="Times New Roman" w:eastAsia="仿宋_GB2312" w:cs="Times New Roman"/>
                <w:color w:val="auto"/>
                <w:sz w:val="20"/>
                <w:szCs w:val="20"/>
              </w:rPr>
            </w:pPr>
          </w:p>
        </w:tc>
        <w:tc>
          <w:tcPr>
            <w:tcW w:w="1038" w:type="dxa"/>
            <w:vMerge w:val="restart"/>
            <w:vAlign w:val="bottom"/>
          </w:tcPr>
          <w:p>
            <w:pPr>
              <w:spacing w:line="240" w:lineRule="exact"/>
              <w:jc w:val="center"/>
              <w:rPr>
                <w:rFonts w:hint="default" w:ascii="Times New Roman" w:hAnsi="Times New Roman" w:eastAsia="仿宋_GB2312" w:cs="Times New Roman"/>
                <w:color w:val="auto"/>
                <w:sz w:val="20"/>
                <w:szCs w:val="20"/>
              </w:rPr>
            </w:pPr>
            <w:r>
              <w:rPr>
                <w:rFonts w:hint="default" w:ascii="Times New Roman" w:hAnsi="Times New Roman" w:eastAsia="仿宋_GB2312" w:cs="Times New Roman"/>
                <w:color w:val="auto"/>
                <w:w w:val="98"/>
                <w:sz w:val="20"/>
                <w:szCs w:val="20"/>
              </w:rPr>
              <w:t>生态效益指标</w:t>
            </w:r>
          </w:p>
        </w:tc>
        <w:tc>
          <w:tcPr>
            <w:tcW w:w="1837" w:type="dxa"/>
          </w:tcPr>
          <w:p>
            <w:pPr>
              <w:spacing w:line="0" w:lineRule="atLeast"/>
              <w:rPr>
                <w:rFonts w:hint="default" w:ascii="Times New Roman" w:hAnsi="Times New Roman" w:eastAsia="仿宋_GB2312" w:cs="Times New Roman"/>
                <w:color w:val="auto"/>
                <w:sz w:val="20"/>
                <w:szCs w:val="20"/>
              </w:rPr>
            </w:pPr>
            <w:r>
              <w:rPr>
                <w:rFonts w:hint="default" w:ascii="Times New Roman" w:hAnsi="Times New Roman" w:eastAsia="仿宋_GB2312" w:cs="Times New Roman"/>
                <w:color w:val="auto"/>
                <w:sz w:val="20"/>
                <w:szCs w:val="20"/>
              </w:rPr>
              <w:t>指标 1：对构建和谐社会的帮助度</w:t>
            </w:r>
          </w:p>
        </w:tc>
        <w:tc>
          <w:tcPr>
            <w:tcW w:w="900" w:type="dxa"/>
          </w:tcPr>
          <w:p>
            <w:pPr>
              <w:spacing w:line="0" w:lineRule="atLeast"/>
              <w:rPr>
                <w:rFonts w:hint="default" w:ascii="Times New Roman" w:hAnsi="Times New Roman" w:eastAsia="仿宋_GB2312" w:cs="Times New Roman"/>
                <w:color w:val="auto"/>
                <w:sz w:val="20"/>
                <w:szCs w:val="20"/>
              </w:rPr>
            </w:pPr>
            <w:r>
              <w:rPr>
                <w:rFonts w:hint="default" w:ascii="Times New Roman" w:hAnsi="Times New Roman" w:eastAsia="仿宋_GB2312" w:cs="Times New Roman"/>
                <w:color w:val="auto"/>
                <w:sz w:val="20"/>
                <w:szCs w:val="20"/>
              </w:rPr>
              <w:t>优</w:t>
            </w:r>
          </w:p>
        </w:tc>
        <w:tc>
          <w:tcPr>
            <w:tcW w:w="1000" w:type="dxa"/>
          </w:tcPr>
          <w:p>
            <w:pPr>
              <w:spacing w:line="0" w:lineRule="atLeast"/>
              <w:rPr>
                <w:rFonts w:hint="default" w:ascii="Times New Roman" w:hAnsi="Times New Roman" w:eastAsia="仿宋_GB2312" w:cs="Times New Roman"/>
                <w:color w:val="auto"/>
                <w:sz w:val="20"/>
                <w:szCs w:val="20"/>
              </w:rPr>
            </w:pPr>
            <w:r>
              <w:rPr>
                <w:rFonts w:hint="default" w:ascii="Times New Roman" w:hAnsi="Times New Roman" w:eastAsia="仿宋_GB2312" w:cs="Times New Roman"/>
                <w:color w:val="auto"/>
                <w:sz w:val="20"/>
                <w:szCs w:val="20"/>
              </w:rPr>
              <w:t>优</w:t>
            </w:r>
          </w:p>
        </w:tc>
        <w:tc>
          <w:tcPr>
            <w:tcW w:w="600" w:type="dxa"/>
          </w:tcPr>
          <w:p>
            <w:pPr>
              <w:spacing w:line="0" w:lineRule="atLeast"/>
              <w:rPr>
                <w:rFonts w:hint="default" w:ascii="Times New Roman" w:hAnsi="Times New Roman" w:eastAsia="仿宋_GB2312" w:cs="Times New Roman"/>
                <w:color w:val="auto"/>
                <w:sz w:val="20"/>
                <w:szCs w:val="20"/>
              </w:rPr>
            </w:pPr>
            <w:r>
              <w:rPr>
                <w:rFonts w:hint="default" w:ascii="Times New Roman" w:hAnsi="Times New Roman" w:eastAsia="仿宋_GB2312" w:cs="Times New Roman"/>
                <w:color w:val="auto"/>
                <w:sz w:val="20"/>
                <w:szCs w:val="20"/>
              </w:rPr>
              <w:t>10</w:t>
            </w:r>
          </w:p>
        </w:tc>
        <w:tc>
          <w:tcPr>
            <w:tcW w:w="600" w:type="dxa"/>
          </w:tcPr>
          <w:p>
            <w:pPr>
              <w:spacing w:line="0" w:lineRule="atLeast"/>
              <w:rPr>
                <w:rFonts w:hint="default" w:ascii="Times New Roman" w:hAnsi="Times New Roman" w:eastAsia="仿宋_GB2312" w:cs="Times New Roman"/>
                <w:color w:val="auto"/>
                <w:sz w:val="20"/>
                <w:szCs w:val="20"/>
              </w:rPr>
            </w:pPr>
            <w:r>
              <w:rPr>
                <w:rFonts w:hint="default" w:ascii="Times New Roman" w:hAnsi="Times New Roman" w:eastAsia="仿宋_GB2312" w:cs="Times New Roman"/>
                <w:color w:val="auto"/>
                <w:sz w:val="20"/>
                <w:szCs w:val="20"/>
              </w:rPr>
              <w:t>10</w:t>
            </w:r>
          </w:p>
        </w:tc>
        <w:tc>
          <w:tcPr>
            <w:tcW w:w="1529" w:type="dxa"/>
          </w:tcPr>
          <w:p>
            <w:pPr>
              <w:spacing w:line="0" w:lineRule="atLeast"/>
              <w:rPr>
                <w:rFonts w:hint="default" w:ascii="Times New Roman" w:hAnsi="Times New Roman" w:eastAsia="仿宋_GB2312"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069" w:type="dxa"/>
            <w:vMerge w:val="continue"/>
            <w:vAlign w:val="center"/>
          </w:tcPr>
          <w:p>
            <w:pPr>
              <w:spacing w:line="0" w:lineRule="atLeast"/>
              <w:jc w:val="center"/>
              <w:rPr>
                <w:rFonts w:hint="default" w:ascii="Times New Roman" w:hAnsi="Times New Roman" w:eastAsia="仿宋_GB2312" w:cs="Times New Roman"/>
                <w:color w:val="auto"/>
                <w:sz w:val="21"/>
                <w:szCs w:val="21"/>
              </w:rPr>
            </w:pPr>
          </w:p>
        </w:tc>
        <w:tc>
          <w:tcPr>
            <w:tcW w:w="1212" w:type="dxa"/>
            <w:vMerge w:val="continue"/>
          </w:tcPr>
          <w:p>
            <w:pPr>
              <w:spacing w:line="0" w:lineRule="atLeast"/>
              <w:rPr>
                <w:rFonts w:hint="default" w:ascii="Times New Roman" w:hAnsi="Times New Roman" w:eastAsia="仿宋_GB2312" w:cs="Times New Roman"/>
                <w:color w:val="auto"/>
                <w:sz w:val="20"/>
                <w:szCs w:val="20"/>
              </w:rPr>
            </w:pPr>
          </w:p>
        </w:tc>
        <w:tc>
          <w:tcPr>
            <w:tcW w:w="1038" w:type="dxa"/>
            <w:vMerge w:val="continue"/>
          </w:tcPr>
          <w:p>
            <w:pPr>
              <w:spacing w:line="0" w:lineRule="atLeast"/>
              <w:rPr>
                <w:rFonts w:hint="default" w:ascii="Times New Roman" w:hAnsi="Times New Roman" w:eastAsia="仿宋_GB2312" w:cs="Times New Roman"/>
                <w:color w:val="auto"/>
                <w:sz w:val="20"/>
                <w:szCs w:val="20"/>
              </w:rPr>
            </w:pPr>
          </w:p>
        </w:tc>
        <w:tc>
          <w:tcPr>
            <w:tcW w:w="1837" w:type="dxa"/>
          </w:tcPr>
          <w:p>
            <w:pPr>
              <w:spacing w:line="0" w:lineRule="atLeast"/>
              <w:rPr>
                <w:rFonts w:hint="default" w:ascii="Times New Roman" w:hAnsi="Times New Roman" w:eastAsia="仿宋_GB2312" w:cs="Times New Roman"/>
                <w:color w:val="auto"/>
                <w:sz w:val="20"/>
                <w:szCs w:val="20"/>
              </w:rPr>
            </w:pPr>
            <w:r>
              <w:rPr>
                <w:rFonts w:hint="default" w:ascii="Times New Roman" w:hAnsi="Times New Roman" w:eastAsia="仿宋_GB2312" w:cs="Times New Roman"/>
                <w:color w:val="auto"/>
                <w:sz w:val="20"/>
                <w:szCs w:val="20"/>
              </w:rPr>
              <w:t>指标 2：</w:t>
            </w:r>
          </w:p>
        </w:tc>
        <w:tc>
          <w:tcPr>
            <w:tcW w:w="900" w:type="dxa"/>
          </w:tcPr>
          <w:p>
            <w:pPr>
              <w:spacing w:line="0" w:lineRule="atLeast"/>
              <w:rPr>
                <w:rFonts w:hint="default" w:ascii="Times New Roman" w:hAnsi="Times New Roman" w:eastAsia="仿宋_GB2312" w:cs="Times New Roman"/>
                <w:color w:val="auto"/>
                <w:sz w:val="20"/>
                <w:szCs w:val="20"/>
              </w:rPr>
            </w:pPr>
          </w:p>
        </w:tc>
        <w:tc>
          <w:tcPr>
            <w:tcW w:w="1000" w:type="dxa"/>
          </w:tcPr>
          <w:p>
            <w:pPr>
              <w:spacing w:line="0" w:lineRule="atLeast"/>
              <w:rPr>
                <w:rFonts w:hint="default" w:ascii="Times New Roman" w:hAnsi="Times New Roman" w:eastAsia="仿宋_GB2312" w:cs="Times New Roman"/>
                <w:color w:val="auto"/>
                <w:sz w:val="20"/>
                <w:szCs w:val="20"/>
              </w:rPr>
            </w:pPr>
          </w:p>
        </w:tc>
        <w:tc>
          <w:tcPr>
            <w:tcW w:w="600" w:type="dxa"/>
          </w:tcPr>
          <w:p>
            <w:pPr>
              <w:spacing w:line="0" w:lineRule="atLeast"/>
              <w:rPr>
                <w:rFonts w:hint="default" w:ascii="Times New Roman" w:hAnsi="Times New Roman" w:eastAsia="仿宋_GB2312" w:cs="Times New Roman"/>
                <w:color w:val="auto"/>
                <w:sz w:val="20"/>
                <w:szCs w:val="20"/>
              </w:rPr>
            </w:pPr>
          </w:p>
        </w:tc>
        <w:tc>
          <w:tcPr>
            <w:tcW w:w="600" w:type="dxa"/>
          </w:tcPr>
          <w:p>
            <w:pPr>
              <w:spacing w:line="0" w:lineRule="atLeast"/>
              <w:rPr>
                <w:rFonts w:hint="default" w:ascii="Times New Roman" w:hAnsi="Times New Roman" w:eastAsia="仿宋_GB2312" w:cs="Times New Roman"/>
                <w:color w:val="auto"/>
                <w:sz w:val="20"/>
                <w:szCs w:val="20"/>
              </w:rPr>
            </w:pPr>
          </w:p>
        </w:tc>
        <w:tc>
          <w:tcPr>
            <w:tcW w:w="1529" w:type="dxa"/>
          </w:tcPr>
          <w:p>
            <w:pPr>
              <w:spacing w:line="0" w:lineRule="atLeast"/>
              <w:rPr>
                <w:rFonts w:hint="default" w:ascii="Times New Roman" w:hAnsi="Times New Roman" w:eastAsia="仿宋_GB2312"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1069" w:type="dxa"/>
            <w:vMerge w:val="restart"/>
            <w:vAlign w:val="center"/>
          </w:tcPr>
          <w:p>
            <w:pPr>
              <w:spacing w:line="240" w:lineRule="exact"/>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 xml:space="preserve"> 绩</w:t>
            </w:r>
          </w:p>
          <w:p>
            <w:pPr>
              <w:spacing w:line="240" w:lineRule="exact"/>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 xml:space="preserve"> 效</w:t>
            </w:r>
          </w:p>
          <w:p>
            <w:pPr>
              <w:spacing w:line="240" w:lineRule="exact"/>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 xml:space="preserve"> 指</w:t>
            </w:r>
          </w:p>
          <w:p>
            <w:pPr>
              <w:spacing w:line="0" w:lineRule="atLeast"/>
              <w:ind w:firstLine="420" w:firstLineChars="200"/>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标</w:t>
            </w:r>
          </w:p>
        </w:tc>
        <w:tc>
          <w:tcPr>
            <w:tcW w:w="1212" w:type="dxa"/>
            <w:vMerge w:val="restart"/>
            <w:vAlign w:val="bottom"/>
          </w:tcPr>
          <w:p>
            <w:pPr>
              <w:spacing w:line="0" w:lineRule="atLeast"/>
              <w:rPr>
                <w:rFonts w:hint="default" w:ascii="Times New Roman" w:hAnsi="Times New Roman" w:eastAsia="仿宋_GB2312" w:cs="Times New Roman"/>
                <w:color w:val="auto"/>
                <w:sz w:val="20"/>
                <w:szCs w:val="20"/>
              </w:rPr>
            </w:pPr>
          </w:p>
        </w:tc>
        <w:tc>
          <w:tcPr>
            <w:tcW w:w="1038" w:type="dxa"/>
            <w:vMerge w:val="restart"/>
            <w:vAlign w:val="bottom"/>
          </w:tcPr>
          <w:p>
            <w:pPr>
              <w:spacing w:line="240" w:lineRule="exact"/>
              <w:jc w:val="center"/>
              <w:rPr>
                <w:rFonts w:hint="default" w:ascii="Times New Roman" w:hAnsi="Times New Roman" w:eastAsia="仿宋_GB2312" w:cs="Times New Roman"/>
                <w:color w:val="auto"/>
                <w:sz w:val="20"/>
                <w:szCs w:val="20"/>
              </w:rPr>
            </w:pPr>
            <w:r>
              <w:rPr>
                <w:rFonts w:hint="default" w:ascii="Times New Roman" w:hAnsi="Times New Roman" w:eastAsia="仿宋_GB2312" w:cs="Times New Roman"/>
                <w:color w:val="auto"/>
                <w:w w:val="99"/>
                <w:sz w:val="20"/>
                <w:szCs w:val="20"/>
              </w:rPr>
              <w:t>可持续影</w:t>
            </w:r>
            <w:r>
              <w:rPr>
                <w:rFonts w:hint="default" w:ascii="Times New Roman" w:hAnsi="Times New Roman" w:eastAsia="仿宋_GB2312" w:cs="Times New Roman"/>
                <w:color w:val="auto"/>
                <w:w w:val="98"/>
                <w:sz w:val="20"/>
                <w:szCs w:val="20"/>
              </w:rPr>
              <w:t>响指标</w:t>
            </w:r>
          </w:p>
        </w:tc>
        <w:tc>
          <w:tcPr>
            <w:tcW w:w="1837" w:type="dxa"/>
          </w:tcPr>
          <w:p>
            <w:pPr>
              <w:spacing w:line="0" w:lineRule="atLeast"/>
              <w:rPr>
                <w:rFonts w:hint="default" w:ascii="Times New Roman" w:hAnsi="Times New Roman" w:eastAsia="仿宋_GB2312" w:cs="Times New Roman"/>
                <w:color w:val="auto"/>
                <w:sz w:val="20"/>
                <w:szCs w:val="20"/>
              </w:rPr>
            </w:pPr>
            <w:r>
              <w:rPr>
                <w:rFonts w:hint="default" w:ascii="Times New Roman" w:hAnsi="Times New Roman" w:eastAsia="仿宋_GB2312" w:cs="Times New Roman"/>
                <w:color w:val="auto"/>
                <w:sz w:val="20"/>
                <w:szCs w:val="20"/>
              </w:rPr>
              <w:t>指标 1：中央台、湖南台广播节目覆盖率</w:t>
            </w:r>
          </w:p>
        </w:tc>
        <w:tc>
          <w:tcPr>
            <w:tcW w:w="900" w:type="dxa"/>
          </w:tcPr>
          <w:p>
            <w:pPr>
              <w:spacing w:line="0" w:lineRule="atLeast"/>
              <w:rPr>
                <w:rFonts w:hint="default" w:ascii="Times New Roman" w:hAnsi="Times New Roman" w:eastAsia="仿宋_GB2312" w:cs="Times New Roman"/>
                <w:color w:val="auto"/>
                <w:sz w:val="20"/>
                <w:szCs w:val="20"/>
              </w:rPr>
            </w:pPr>
            <w:r>
              <w:rPr>
                <w:rFonts w:hint="default" w:ascii="Times New Roman" w:hAnsi="Times New Roman" w:eastAsia="仿宋_GB2312" w:cs="Times New Roman"/>
                <w:color w:val="auto"/>
                <w:sz w:val="20"/>
                <w:szCs w:val="20"/>
              </w:rPr>
              <w:t>100%</w:t>
            </w:r>
          </w:p>
        </w:tc>
        <w:tc>
          <w:tcPr>
            <w:tcW w:w="1000" w:type="dxa"/>
          </w:tcPr>
          <w:p>
            <w:pPr>
              <w:spacing w:line="0" w:lineRule="atLeast"/>
              <w:rPr>
                <w:rFonts w:hint="default" w:ascii="Times New Roman" w:hAnsi="Times New Roman" w:eastAsia="仿宋_GB2312" w:cs="Times New Roman"/>
                <w:color w:val="auto"/>
                <w:sz w:val="20"/>
                <w:szCs w:val="20"/>
              </w:rPr>
            </w:pPr>
            <w:r>
              <w:rPr>
                <w:rFonts w:hint="default" w:ascii="Times New Roman" w:hAnsi="Times New Roman" w:eastAsia="仿宋_GB2312" w:cs="Times New Roman"/>
                <w:color w:val="auto"/>
                <w:sz w:val="20"/>
                <w:szCs w:val="20"/>
              </w:rPr>
              <w:t>100%</w:t>
            </w:r>
          </w:p>
        </w:tc>
        <w:tc>
          <w:tcPr>
            <w:tcW w:w="600" w:type="dxa"/>
          </w:tcPr>
          <w:p>
            <w:pPr>
              <w:spacing w:line="0" w:lineRule="atLeast"/>
              <w:rPr>
                <w:rFonts w:hint="default" w:ascii="Times New Roman" w:hAnsi="Times New Roman" w:eastAsia="仿宋_GB2312" w:cs="Times New Roman"/>
                <w:color w:val="auto"/>
                <w:sz w:val="20"/>
                <w:szCs w:val="20"/>
              </w:rPr>
            </w:pPr>
            <w:r>
              <w:rPr>
                <w:rFonts w:hint="default" w:ascii="Times New Roman" w:hAnsi="Times New Roman" w:eastAsia="仿宋_GB2312" w:cs="Times New Roman"/>
                <w:color w:val="auto"/>
                <w:sz w:val="20"/>
                <w:szCs w:val="20"/>
              </w:rPr>
              <w:t>5</w:t>
            </w:r>
          </w:p>
        </w:tc>
        <w:tc>
          <w:tcPr>
            <w:tcW w:w="600" w:type="dxa"/>
          </w:tcPr>
          <w:p>
            <w:pPr>
              <w:spacing w:line="0" w:lineRule="atLeast"/>
              <w:rPr>
                <w:rFonts w:hint="default" w:ascii="Times New Roman" w:hAnsi="Times New Roman" w:eastAsia="仿宋_GB2312" w:cs="Times New Roman"/>
                <w:color w:val="auto"/>
                <w:sz w:val="20"/>
                <w:szCs w:val="20"/>
              </w:rPr>
            </w:pPr>
            <w:r>
              <w:rPr>
                <w:rFonts w:hint="default" w:ascii="Times New Roman" w:hAnsi="Times New Roman" w:eastAsia="仿宋_GB2312" w:cs="Times New Roman"/>
                <w:color w:val="auto"/>
                <w:sz w:val="20"/>
                <w:szCs w:val="20"/>
              </w:rPr>
              <w:t>5</w:t>
            </w:r>
          </w:p>
        </w:tc>
        <w:tc>
          <w:tcPr>
            <w:tcW w:w="1529" w:type="dxa"/>
          </w:tcPr>
          <w:p>
            <w:pPr>
              <w:spacing w:line="0" w:lineRule="atLeast"/>
              <w:rPr>
                <w:rFonts w:hint="default" w:ascii="Times New Roman" w:hAnsi="Times New Roman" w:eastAsia="仿宋_GB2312"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1069" w:type="dxa"/>
            <w:vMerge w:val="continue"/>
          </w:tcPr>
          <w:p>
            <w:pPr>
              <w:spacing w:line="0" w:lineRule="atLeast"/>
              <w:rPr>
                <w:rFonts w:hint="default" w:ascii="Times New Roman" w:hAnsi="Times New Roman" w:eastAsia="仿宋_GB2312" w:cs="Times New Roman"/>
                <w:color w:val="auto"/>
                <w:sz w:val="20"/>
                <w:szCs w:val="20"/>
              </w:rPr>
            </w:pPr>
          </w:p>
        </w:tc>
        <w:tc>
          <w:tcPr>
            <w:tcW w:w="1212" w:type="dxa"/>
            <w:vMerge w:val="continue"/>
            <w:vAlign w:val="bottom"/>
          </w:tcPr>
          <w:p>
            <w:pPr>
              <w:spacing w:line="0" w:lineRule="atLeast"/>
              <w:rPr>
                <w:rFonts w:hint="default" w:ascii="Times New Roman" w:hAnsi="Times New Roman" w:eastAsia="仿宋_GB2312" w:cs="Times New Roman"/>
                <w:color w:val="auto"/>
                <w:sz w:val="20"/>
                <w:szCs w:val="20"/>
              </w:rPr>
            </w:pPr>
          </w:p>
        </w:tc>
        <w:tc>
          <w:tcPr>
            <w:tcW w:w="1038" w:type="dxa"/>
            <w:vMerge w:val="continue"/>
          </w:tcPr>
          <w:p>
            <w:pPr>
              <w:spacing w:line="0" w:lineRule="atLeast"/>
              <w:rPr>
                <w:rFonts w:hint="default" w:ascii="Times New Roman" w:hAnsi="Times New Roman" w:eastAsia="仿宋_GB2312" w:cs="Times New Roman"/>
                <w:color w:val="auto"/>
                <w:sz w:val="20"/>
                <w:szCs w:val="20"/>
              </w:rPr>
            </w:pPr>
          </w:p>
        </w:tc>
        <w:tc>
          <w:tcPr>
            <w:tcW w:w="1837" w:type="dxa"/>
          </w:tcPr>
          <w:p>
            <w:pPr>
              <w:spacing w:line="0" w:lineRule="atLeast"/>
              <w:rPr>
                <w:rFonts w:hint="default" w:ascii="Times New Roman" w:hAnsi="Times New Roman" w:eastAsia="仿宋_GB2312" w:cs="Times New Roman"/>
                <w:color w:val="auto"/>
                <w:sz w:val="20"/>
                <w:szCs w:val="20"/>
              </w:rPr>
            </w:pPr>
            <w:r>
              <w:rPr>
                <w:rFonts w:hint="default" w:ascii="Times New Roman" w:hAnsi="Times New Roman" w:eastAsia="仿宋_GB2312" w:cs="Times New Roman"/>
                <w:color w:val="auto"/>
                <w:sz w:val="20"/>
                <w:szCs w:val="20"/>
              </w:rPr>
              <w:t>指标 2：</w:t>
            </w:r>
          </w:p>
        </w:tc>
        <w:tc>
          <w:tcPr>
            <w:tcW w:w="900" w:type="dxa"/>
          </w:tcPr>
          <w:p>
            <w:pPr>
              <w:spacing w:line="0" w:lineRule="atLeast"/>
              <w:rPr>
                <w:rFonts w:hint="default" w:ascii="Times New Roman" w:hAnsi="Times New Roman" w:eastAsia="仿宋_GB2312" w:cs="Times New Roman"/>
                <w:color w:val="auto"/>
                <w:sz w:val="20"/>
                <w:szCs w:val="20"/>
              </w:rPr>
            </w:pPr>
          </w:p>
        </w:tc>
        <w:tc>
          <w:tcPr>
            <w:tcW w:w="1000" w:type="dxa"/>
          </w:tcPr>
          <w:p>
            <w:pPr>
              <w:spacing w:line="0" w:lineRule="atLeast"/>
              <w:rPr>
                <w:rFonts w:hint="default" w:ascii="Times New Roman" w:hAnsi="Times New Roman" w:eastAsia="仿宋_GB2312" w:cs="Times New Roman"/>
                <w:color w:val="auto"/>
                <w:sz w:val="20"/>
                <w:szCs w:val="20"/>
              </w:rPr>
            </w:pPr>
          </w:p>
        </w:tc>
        <w:tc>
          <w:tcPr>
            <w:tcW w:w="600" w:type="dxa"/>
          </w:tcPr>
          <w:p>
            <w:pPr>
              <w:spacing w:line="0" w:lineRule="atLeast"/>
              <w:rPr>
                <w:rFonts w:hint="default" w:ascii="Times New Roman" w:hAnsi="Times New Roman" w:eastAsia="仿宋_GB2312" w:cs="Times New Roman"/>
                <w:color w:val="auto"/>
                <w:sz w:val="20"/>
                <w:szCs w:val="20"/>
              </w:rPr>
            </w:pPr>
          </w:p>
        </w:tc>
        <w:tc>
          <w:tcPr>
            <w:tcW w:w="600" w:type="dxa"/>
          </w:tcPr>
          <w:p>
            <w:pPr>
              <w:spacing w:line="0" w:lineRule="atLeast"/>
              <w:rPr>
                <w:rFonts w:hint="default" w:ascii="Times New Roman" w:hAnsi="Times New Roman" w:eastAsia="仿宋_GB2312" w:cs="Times New Roman"/>
                <w:color w:val="auto"/>
                <w:sz w:val="20"/>
                <w:szCs w:val="20"/>
              </w:rPr>
            </w:pPr>
          </w:p>
        </w:tc>
        <w:tc>
          <w:tcPr>
            <w:tcW w:w="1529" w:type="dxa"/>
          </w:tcPr>
          <w:p>
            <w:pPr>
              <w:spacing w:line="0" w:lineRule="atLeast"/>
              <w:rPr>
                <w:rFonts w:hint="default" w:ascii="Times New Roman" w:hAnsi="Times New Roman" w:eastAsia="仿宋_GB2312"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1069" w:type="dxa"/>
            <w:vMerge w:val="continue"/>
          </w:tcPr>
          <w:p>
            <w:pPr>
              <w:spacing w:line="0" w:lineRule="atLeast"/>
              <w:rPr>
                <w:rFonts w:hint="default" w:ascii="Times New Roman" w:hAnsi="Times New Roman" w:eastAsia="仿宋_GB2312" w:cs="Times New Roman"/>
                <w:color w:val="auto"/>
                <w:sz w:val="20"/>
                <w:szCs w:val="20"/>
              </w:rPr>
            </w:pPr>
          </w:p>
        </w:tc>
        <w:tc>
          <w:tcPr>
            <w:tcW w:w="1212" w:type="dxa"/>
            <w:vMerge w:val="restart"/>
            <w:vAlign w:val="bottom"/>
          </w:tcPr>
          <w:p>
            <w:pPr>
              <w:spacing w:line="209" w:lineRule="exact"/>
              <w:jc w:val="center"/>
              <w:rPr>
                <w:rFonts w:hint="default" w:ascii="Times New Roman" w:hAnsi="Times New Roman" w:eastAsia="仿宋_GB2312" w:cs="Times New Roman"/>
                <w:color w:val="auto"/>
                <w:sz w:val="20"/>
                <w:szCs w:val="20"/>
              </w:rPr>
            </w:pPr>
            <w:r>
              <w:rPr>
                <w:rFonts w:hint="default" w:ascii="Times New Roman" w:hAnsi="Times New Roman" w:eastAsia="仿宋_GB2312" w:cs="Times New Roman"/>
                <w:color w:val="auto"/>
                <w:w w:val="98"/>
                <w:sz w:val="20"/>
                <w:szCs w:val="20"/>
              </w:rPr>
              <w:t>满意度</w:t>
            </w:r>
            <w:r>
              <w:rPr>
                <w:rFonts w:hint="default" w:ascii="Times New Roman" w:hAnsi="Times New Roman" w:eastAsia="仿宋_GB2312" w:cs="Times New Roman"/>
                <w:color w:val="auto"/>
                <w:w w:val="99"/>
                <w:sz w:val="20"/>
                <w:szCs w:val="20"/>
              </w:rPr>
              <w:t>指标（10 分）</w:t>
            </w:r>
          </w:p>
        </w:tc>
        <w:tc>
          <w:tcPr>
            <w:tcW w:w="1038" w:type="dxa"/>
            <w:vMerge w:val="restart"/>
            <w:vAlign w:val="bottom"/>
          </w:tcPr>
          <w:p>
            <w:pPr>
              <w:spacing w:line="209" w:lineRule="exact"/>
              <w:jc w:val="center"/>
              <w:rPr>
                <w:rFonts w:hint="default" w:ascii="Times New Roman" w:hAnsi="Times New Roman" w:eastAsia="仿宋_GB2312" w:cs="Times New Roman"/>
                <w:color w:val="auto"/>
                <w:sz w:val="20"/>
                <w:szCs w:val="20"/>
              </w:rPr>
            </w:pPr>
            <w:r>
              <w:rPr>
                <w:rFonts w:hint="default" w:ascii="Times New Roman" w:hAnsi="Times New Roman" w:eastAsia="仿宋_GB2312" w:cs="Times New Roman"/>
                <w:color w:val="auto"/>
                <w:w w:val="99"/>
                <w:sz w:val="20"/>
                <w:szCs w:val="20"/>
              </w:rPr>
              <w:t>服务对象满意度指</w:t>
            </w:r>
            <w:r>
              <w:rPr>
                <w:rFonts w:hint="default" w:ascii="Times New Roman" w:hAnsi="Times New Roman" w:eastAsia="仿宋_GB2312" w:cs="Times New Roman"/>
                <w:color w:val="auto"/>
                <w:sz w:val="20"/>
                <w:szCs w:val="20"/>
              </w:rPr>
              <w:t>标</w:t>
            </w:r>
          </w:p>
        </w:tc>
        <w:tc>
          <w:tcPr>
            <w:tcW w:w="1837" w:type="dxa"/>
          </w:tcPr>
          <w:p>
            <w:pPr>
              <w:spacing w:line="0" w:lineRule="atLeast"/>
              <w:rPr>
                <w:rFonts w:hint="default" w:ascii="Times New Roman" w:hAnsi="Times New Roman" w:eastAsia="仿宋_GB2312" w:cs="Times New Roman"/>
                <w:color w:val="auto"/>
                <w:sz w:val="20"/>
                <w:szCs w:val="20"/>
              </w:rPr>
            </w:pPr>
            <w:r>
              <w:rPr>
                <w:rFonts w:hint="default" w:ascii="Times New Roman" w:hAnsi="Times New Roman" w:eastAsia="仿宋_GB2312" w:cs="Times New Roman"/>
                <w:color w:val="auto"/>
                <w:sz w:val="20"/>
                <w:szCs w:val="20"/>
              </w:rPr>
              <w:t>指标 1：群众免费收听满意率</w:t>
            </w:r>
          </w:p>
        </w:tc>
        <w:tc>
          <w:tcPr>
            <w:tcW w:w="900" w:type="dxa"/>
          </w:tcPr>
          <w:p>
            <w:pPr>
              <w:spacing w:line="0" w:lineRule="atLeast"/>
              <w:rPr>
                <w:rFonts w:hint="default" w:ascii="Times New Roman" w:hAnsi="Times New Roman" w:eastAsia="仿宋_GB2312" w:cs="Times New Roman"/>
                <w:color w:val="auto"/>
                <w:sz w:val="20"/>
                <w:szCs w:val="20"/>
              </w:rPr>
            </w:pPr>
            <w:r>
              <w:rPr>
                <w:rFonts w:hint="default" w:ascii="Times New Roman" w:hAnsi="Times New Roman" w:eastAsia="仿宋_GB2312" w:cs="Times New Roman"/>
                <w:color w:val="auto"/>
                <w:sz w:val="20"/>
                <w:szCs w:val="20"/>
              </w:rPr>
              <w:t>100%</w:t>
            </w:r>
          </w:p>
        </w:tc>
        <w:tc>
          <w:tcPr>
            <w:tcW w:w="1000" w:type="dxa"/>
          </w:tcPr>
          <w:p>
            <w:pPr>
              <w:spacing w:line="0" w:lineRule="atLeast"/>
              <w:rPr>
                <w:rFonts w:hint="default" w:ascii="Times New Roman" w:hAnsi="Times New Roman" w:eastAsia="仿宋_GB2312" w:cs="Times New Roman"/>
                <w:color w:val="auto"/>
                <w:sz w:val="20"/>
                <w:szCs w:val="20"/>
              </w:rPr>
            </w:pPr>
            <w:r>
              <w:rPr>
                <w:rFonts w:hint="default" w:ascii="Times New Roman" w:hAnsi="Times New Roman" w:eastAsia="仿宋_GB2312" w:cs="Times New Roman"/>
                <w:color w:val="auto"/>
                <w:sz w:val="20"/>
                <w:szCs w:val="20"/>
              </w:rPr>
              <w:t>98%</w:t>
            </w:r>
          </w:p>
        </w:tc>
        <w:tc>
          <w:tcPr>
            <w:tcW w:w="600" w:type="dxa"/>
          </w:tcPr>
          <w:p>
            <w:pPr>
              <w:spacing w:line="0" w:lineRule="atLeast"/>
              <w:rPr>
                <w:rFonts w:hint="default" w:ascii="Times New Roman" w:hAnsi="Times New Roman" w:eastAsia="仿宋_GB2312" w:cs="Times New Roman"/>
                <w:color w:val="auto"/>
                <w:sz w:val="20"/>
                <w:szCs w:val="20"/>
              </w:rPr>
            </w:pPr>
            <w:r>
              <w:rPr>
                <w:rFonts w:hint="default" w:ascii="Times New Roman" w:hAnsi="Times New Roman" w:eastAsia="仿宋_GB2312" w:cs="Times New Roman"/>
                <w:color w:val="auto"/>
                <w:sz w:val="20"/>
                <w:szCs w:val="20"/>
              </w:rPr>
              <w:t>5</w:t>
            </w:r>
          </w:p>
        </w:tc>
        <w:tc>
          <w:tcPr>
            <w:tcW w:w="600" w:type="dxa"/>
          </w:tcPr>
          <w:p>
            <w:pPr>
              <w:spacing w:line="0" w:lineRule="atLeast"/>
              <w:rPr>
                <w:rFonts w:hint="default" w:ascii="Times New Roman" w:hAnsi="Times New Roman" w:eastAsia="仿宋_GB2312" w:cs="Times New Roman"/>
                <w:color w:val="auto"/>
                <w:sz w:val="20"/>
                <w:szCs w:val="20"/>
              </w:rPr>
            </w:pPr>
            <w:r>
              <w:rPr>
                <w:rFonts w:hint="default" w:ascii="Times New Roman" w:hAnsi="Times New Roman" w:eastAsia="仿宋_GB2312" w:cs="Times New Roman"/>
                <w:color w:val="auto"/>
                <w:sz w:val="20"/>
                <w:szCs w:val="20"/>
              </w:rPr>
              <w:t>4</w:t>
            </w:r>
          </w:p>
        </w:tc>
        <w:tc>
          <w:tcPr>
            <w:tcW w:w="1529" w:type="dxa"/>
          </w:tcPr>
          <w:p>
            <w:pPr>
              <w:spacing w:line="0" w:lineRule="atLeast"/>
              <w:rPr>
                <w:rFonts w:hint="default" w:ascii="Times New Roman" w:hAnsi="Times New Roman" w:eastAsia="仿宋_GB2312" w:cs="Times New Roman"/>
                <w:color w:val="auto"/>
                <w:sz w:val="20"/>
                <w:szCs w:val="20"/>
              </w:rPr>
            </w:pPr>
            <w:r>
              <w:rPr>
                <w:rFonts w:hint="default" w:ascii="Times New Roman" w:hAnsi="Times New Roman" w:eastAsia="仿宋_GB2312" w:cs="Times New Roman"/>
                <w:color w:val="auto"/>
                <w:sz w:val="20"/>
                <w:szCs w:val="20"/>
              </w:rPr>
              <w:t>偏远地区信号差，需增加设备，扩大覆盖范围。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1069" w:type="dxa"/>
            <w:vMerge w:val="continue"/>
          </w:tcPr>
          <w:p>
            <w:pPr>
              <w:spacing w:line="0" w:lineRule="atLeast"/>
              <w:rPr>
                <w:rFonts w:hint="default" w:ascii="Times New Roman" w:hAnsi="Times New Roman" w:eastAsia="仿宋_GB2312" w:cs="Times New Roman"/>
                <w:color w:val="auto"/>
                <w:sz w:val="20"/>
                <w:szCs w:val="20"/>
              </w:rPr>
            </w:pPr>
          </w:p>
        </w:tc>
        <w:tc>
          <w:tcPr>
            <w:tcW w:w="1212" w:type="dxa"/>
            <w:vMerge w:val="continue"/>
          </w:tcPr>
          <w:p>
            <w:pPr>
              <w:spacing w:line="0" w:lineRule="atLeast"/>
              <w:rPr>
                <w:rFonts w:hint="default" w:ascii="Times New Roman" w:hAnsi="Times New Roman" w:eastAsia="仿宋_GB2312" w:cs="Times New Roman"/>
                <w:color w:val="auto"/>
                <w:sz w:val="20"/>
                <w:szCs w:val="20"/>
              </w:rPr>
            </w:pPr>
          </w:p>
        </w:tc>
        <w:tc>
          <w:tcPr>
            <w:tcW w:w="1038" w:type="dxa"/>
            <w:vMerge w:val="continue"/>
          </w:tcPr>
          <w:p>
            <w:pPr>
              <w:spacing w:line="0" w:lineRule="atLeast"/>
              <w:rPr>
                <w:rFonts w:hint="default" w:ascii="Times New Roman" w:hAnsi="Times New Roman" w:eastAsia="仿宋_GB2312" w:cs="Times New Roman"/>
                <w:color w:val="auto"/>
                <w:sz w:val="20"/>
                <w:szCs w:val="20"/>
              </w:rPr>
            </w:pPr>
          </w:p>
        </w:tc>
        <w:tc>
          <w:tcPr>
            <w:tcW w:w="1837" w:type="dxa"/>
          </w:tcPr>
          <w:p>
            <w:pPr>
              <w:spacing w:line="0" w:lineRule="atLeast"/>
              <w:rPr>
                <w:rFonts w:hint="default" w:ascii="Times New Roman" w:hAnsi="Times New Roman" w:eastAsia="仿宋_GB2312" w:cs="Times New Roman"/>
                <w:color w:val="auto"/>
                <w:sz w:val="20"/>
                <w:szCs w:val="20"/>
              </w:rPr>
            </w:pPr>
            <w:r>
              <w:rPr>
                <w:rFonts w:hint="default" w:ascii="Times New Roman" w:hAnsi="Times New Roman" w:eastAsia="仿宋_GB2312" w:cs="Times New Roman"/>
                <w:color w:val="auto"/>
                <w:sz w:val="20"/>
                <w:szCs w:val="20"/>
              </w:rPr>
              <w:t>指标 2：</w:t>
            </w:r>
          </w:p>
        </w:tc>
        <w:tc>
          <w:tcPr>
            <w:tcW w:w="900" w:type="dxa"/>
          </w:tcPr>
          <w:p>
            <w:pPr>
              <w:spacing w:line="0" w:lineRule="atLeast"/>
              <w:rPr>
                <w:rFonts w:hint="default" w:ascii="Times New Roman" w:hAnsi="Times New Roman" w:eastAsia="仿宋_GB2312" w:cs="Times New Roman"/>
                <w:color w:val="auto"/>
                <w:sz w:val="20"/>
                <w:szCs w:val="20"/>
              </w:rPr>
            </w:pPr>
          </w:p>
        </w:tc>
        <w:tc>
          <w:tcPr>
            <w:tcW w:w="1000" w:type="dxa"/>
          </w:tcPr>
          <w:p>
            <w:pPr>
              <w:spacing w:line="0" w:lineRule="atLeast"/>
              <w:rPr>
                <w:rFonts w:hint="default" w:ascii="Times New Roman" w:hAnsi="Times New Roman" w:eastAsia="仿宋_GB2312" w:cs="Times New Roman"/>
                <w:color w:val="auto"/>
                <w:sz w:val="20"/>
                <w:szCs w:val="20"/>
              </w:rPr>
            </w:pPr>
          </w:p>
        </w:tc>
        <w:tc>
          <w:tcPr>
            <w:tcW w:w="600" w:type="dxa"/>
          </w:tcPr>
          <w:p>
            <w:pPr>
              <w:spacing w:line="0" w:lineRule="atLeast"/>
              <w:rPr>
                <w:rFonts w:hint="default" w:ascii="Times New Roman" w:hAnsi="Times New Roman" w:eastAsia="仿宋_GB2312" w:cs="Times New Roman"/>
                <w:color w:val="auto"/>
                <w:sz w:val="20"/>
                <w:szCs w:val="20"/>
              </w:rPr>
            </w:pPr>
          </w:p>
        </w:tc>
        <w:tc>
          <w:tcPr>
            <w:tcW w:w="600" w:type="dxa"/>
          </w:tcPr>
          <w:p>
            <w:pPr>
              <w:spacing w:line="0" w:lineRule="atLeast"/>
              <w:rPr>
                <w:rFonts w:hint="default" w:ascii="Times New Roman" w:hAnsi="Times New Roman" w:eastAsia="仿宋_GB2312" w:cs="Times New Roman"/>
                <w:color w:val="auto"/>
                <w:sz w:val="20"/>
                <w:szCs w:val="20"/>
              </w:rPr>
            </w:pPr>
          </w:p>
        </w:tc>
        <w:tc>
          <w:tcPr>
            <w:tcW w:w="1529" w:type="dxa"/>
          </w:tcPr>
          <w:p>
            <w:pPr>
              <w:spacing w:line="0" w:lineRule="atLeast"/>
              <w:rPr>
                <w:rFonts w:hint="default" w:ascii="Times New Roman" w:hAnsi="Times New Roman" w:eastAsia="仿宋_GB2312"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7056" w:type="dxa"/>
            <w:gridSpan w:val="6"/>
          </w:tcPr>
          <w:p>
            <w:pPr>
              <w:spacing w:line="0" w:lineRule="atLeast"/>
              <w:rPr>
                <w:rFonts w:hint="default" w:ascii="Times New Roman" w:hAnsi="Times New Roman" w:eastAsia="仿宋_GB2312" w:cs="Times New Roman"/>
                <w:color w:val="auto"/>
                <w:sz w:val="20"/>
                <w:szCs w:val="20"/>
              </w:rPr>
            </w:pPr>
            <w:r>
              <w:rPr>
                <w:rFonts w:hint="default" w:ascii="Times New Roman" w:hAnsi="Times New Roman" w:eastAsia="仿宋_GB2312" w:cs="Times New Roman"/>
                <w:color w:val="auto"/>
                <w:w w:val="99"/>
                <w:sz w:val="20"/>
                <w:szCs w:val="20"/>
              </w:rPr>
              <w:t>总分</w:t>
            </w:r>
          </w:p>
        </w:tc>
        <w:tc>
          <w:tcPr>
            <w:tcW w:w="600" w:type="dxa"/>
          </w:tcPr>
          <w:p>
            <w:pPr>
              <w:spacing w:line="0" w:lineRule="atLeast"/>
              <w:rPr>
                <w:rFonts w:hint="default" w:ascii="Times New Roman" w:hAnsi="Times New Roman" w:eastAsia="仿宋_GB2312" w:cs="Times New Roman"/>
                <w:color w:val="auto"/>
                <w:sz w:val="20"/>
                <w:szCs w:val="20"/>
              </w:rPr>
            </w:pPr>
            <w:r>
              <w:rPr>
                <w:rFonts w:hint="default" w:ascii="Times New Roman" w:hAnsi="Times New Roman" w:eastAsia="仿宋_GB2312" w:cs="Times New Roman"/>
                <w:color w:val="auto"/>
                <w:sz w:val="20"/>
                <w:szCs w:val="20"/>
              </w:rPr>
              <w:t>100</w:t>
            </w:r>
          </w:p>
        </w:tc>
        <w:tc>
          <w:tcPr>
            <w:tcW w:w="600" w:type="dxa"/>
          </w:tcPr>
          <w:p>
            <w:pPr>
              <w:spacing w:line="0" w:lineRule="atLeast"/>
              <w:rPr>
                <w:rFonts w:hint="default" w:ascii="Times New Roman" w:hAnsi="Times New Roman" w:eastAsia="仿宋_GB2312" w:cs="Times New Roman"/>
                <w:color w:val="auto"/>
                <w:sz w:val="20"/>
                <w:szCs w:val="20"/>
              </w:rPr>
            </w:pPr>
            <w:r>
              <w:rPr>
                <w:rFonts w:hint="default" w:ascii="Times New Roman" w:hAnsi="Times New Roman" w:eastAsia="仿宋_GB2312" w:cs="Times New Roman"/>
                <w:color w:val="auto"/>
                <w:sz w:val="20"/>
                <w:szCs w:val="20"/>
              </w:rPr>
              <w:t>99</w:t>
            </w:r>
          </w:p>
        </w:tc>
        <w:tc>
          <w:tcPr>
            <w:tcW w:w="1529" w:type="dxa"/>
          </w:tcPr>
          <w:p>
            <w:pPr>
              <w:spacing w:line="0" w:lineRule="atLeast"/>
              <w:rPr>
                <w:rFonts w:hint="default" w:ascii="Times New Roman" w:hAnsi="Times New Roman" w:eastAsia="仿宋_GB2312" w:cs="Times New Roman"/>
                <w:color w:val="auto"/>
                <w:sz w:val="20"/>
                <w:szCs w:val="20"/>
              </w:rPr>
            </w:pPr>
          </w:p>
        </w:tc>
      </w:tr>
    </w:tbl>
    <w:p>
      <w:pPr>
        <w:spacing w:line="0" w:lineRule="atLeast"/>
        <w:ind w:firstLine="7560" w:firstLineChars="4200"/>
        <w:rPr>
          <w:rFonts w:hint="default" w:ascii="Times New Roman" w:hAnsi="Times New Roman" w:eastAsia="仿宋_GB2312" w:cs="Times New Roman"/>
          <w:color w:val="auto"/>
          <w:sz w:val="18"/>
          <w:szCs w:val="18"/>
        </w:rPr>
      </w:pPr>
    </w:p>
    <w:tbl>
      <w:tblPr>
        <w:tblStyle w:val="7"/>
        <w:tblW w:w="10388" w:type="dxa"/>
        <w:tblInd w:w="-508" w:type="dxa"/>
        <w:tblLayout w:type="fixed"/>
        <w:tblCellMar>
          <w:top w:w="0" w:type="dxa"/>
          <w:left w:w="0" w:type="dxa"/>
          <w:bottom w:w="0" w:type="dxa"/>
          <w:right w:w="0" w:type="dxa"/>
        </w:tblCellMar>
      </w:tblPr>
      <w:tblGrid>
        <w:gridCol w:w="2688"/>
        <w:gridCol w:w="2140"/>
        <w:gridCol w:w="2300"/>
        <w:gridCol w:w="1840"/>
        <w:gridCol w:w="1420"/>
      </w:tblGrid>
      <w:tr>
        <w:tblPrEx>
          <w:tblCellMar>
            <w:top w:w="0" w:type="dxa"/>
            <w:left w:w="0" w:type="dxa"/>
            <w:bottom w:w="0" w:type="dxa"/>
            <w:right w:w="0" w:type="dxa"/>
          </w:tblCellMar>
        </w:tblPrEx>
        <w:trPr>
          <w:trHeight w:val="470" w:hRule="atLeast"/>
        </w:trPr>
        <w:tc>
          <w:tcPr>
            <w:tcW w:w="2688" w:type="dxa"/>
            <w:shd w:val="clear" w:color="auto" w:fill="auto"/>
            <w:vAlign w:val="bottom"/>
          </w:tcPr>
          <w:p>
            <w:pPr>
              <w:spacing w:line="240" w:lineRule="exact"/>
              <w:ind w:left="560"/>
              <w:rPr>
                <w:rFonts w:hint="default" w:ascii="Times New Roman" w:hAnsi="Times New Roman" w:eastAsia="仿宋_GB2312" w:cs="Times New Roman"/>
                <w:color w:val="auto"/>
                <w:sz w:val="20"/>
                <w:szCs w:val="20"/>
              </w:rPr>
            </w:pPr>
            <w:r>
              <w:rPr>
                <w:rFonts w:hint="default" w:ascii="Times New Roman" w:hAnsi="Times New Roman" w:eastAsia="仿宋_GB2312" w:cs="Times New Roman"/>
                <w:color w:val="auto"/>
                <w:sz w:val="20"/>
                <w:szCs w:val="20"/>
              </w:rPr>
              <w:t>填表人：张小妹</w:t>
            </w:r>
          </w:p>
        </w:tc>
        <w:tc>
          <w:tcPr>
            <w:tcW w:w="2140" w:type="dxa"/>
            <w:shd w:val="clear" w:color="auto" w:fill="auto"/>
            <w:vAlign w:val="bottom"/>
          </w:tcPr>
          <w:p>
            <w:pPr>
              <w:spacing w:line="0" w:lineRule="atLeast"/>
              <w:rPr>
                <w:rFonts w:hint="default" w:ascii="Times New Roman" w:hAnsi="Times New Roman" w:eastAsia="仿宋_GB2312" w:cs="Times New Roman"/>
                <w:color w:val="auto"/>
                <w:sz w:val="20"/>
                <w:szCs w:val="20"/>
              </w:rPr>
            </w:pPr>
            <w:r>
              <w:rPr>
                <w:rFonts w:hint="default" w:ascii="Times New Roman" w:hAnsi="Times New Roman" w:eastAsia="仿宋_GB2312" w:cs="Times New Roman"/>
                <w:color w:val="auto"/>
                <w:sz w:val="20"/>
                <w:szCs w:val="20"/>
              </w:rPr>
              <w:t>填报日期：2021.4.8</w:t>
            </w:r>
          </w:p>
        </w:tc>
        <w:tc>
          <w:tcPr>
            <w:tcW w:w="2300" w:type="dxa"/>
            <w:shd w:val="clear" w:color="auto" w:fill="auto"/>
            <w:vAlign w:val="bottom"/>
          </w:tcPr>
          <w:p>
            <w:pPr>
              <w:spacing w:line="0" w:lineRule="atLeast"/>
              <w:rPr>
                <w:rFonts w:hint="default" w:ascii="Times New Roman" w:hAnsi="Times New Roman" w:eastAsia="仿宋_GB2312" w:cs="Times New Roman"/>
                <w:color w:val="auto"/>
                <w:sz w:val="20"/>
                <w:szCs w:val="20"/>
              </w:rPr>
            </w:pPr>
            <w:r>
              <w:rPr>
                <w:rFonts w:hint="default" w:ascii="Times New Roman" w:hAnsi="Times New Roman" w:eastAsia="仿宋_GB2312" w:cs="Times New Roman"/>
                <w:color w:val="auto"/>
                <w:sz w:val="20"/>
                <w:szCs w:val="20"/>
              </w:rPr>
              <w:t>联系电话：18673075919</w:t>
            </w:r>
          </w:p>
        </w:tc>
        <w:tc>
          <w:tcPr>
            <w:tcW w:w="1840" w:type="dxa"/>
            <w:shd w:val="clear" w:color="auto" w:fill="auto"/>
            <w:vAlign w:val="bottom"/>
          </w:tcPr>
          <w:p>
            <w:pPr>
              <w:spacing w:line="240" w:lineRule="exact"/>
              <w:ind w:right="15"/>
              <w:jc w:val="right"/>
              <w:rPr>
                <w:rFonts w:hint="default" w:ascii="Times New Roman" w:hAnsi="Times New Roman" w:eastAsia="仿宋_GB2312" w:cs="Times New Roman"/>
                <w:color w:val="auto"/>
                <w:sz w:val="20"/>
                <w:szCs w:val="20"/>
              </w:rPr>
            </w:pPr>
            <w:r>
              <w:rPr>
                <w:rFonts w:hint="default" w:ascii="Times New Roman" w:hAnsi="Times New Roman" w:eastAsia="仿宋_GB2312" w:cs="Times New Roman"/>
                <w:color w:val="auto"/>
                <w:sz w:val="20"/>
                <w:szCs w:val="20"/>
              </w:rPr>
              <w:t>单位负责人签字：</w:t>
            </w:r>
          </w:p>
        </w:tc>
        <w:tc>
          <w:tcPr>
            <w:tcW w:w="1420" w:type="dxa"/>
            <w:shd w:val="clear" w:color="auto" w:fill="auto"/>
            <w:vAlign w:val="bottom"/>
          </w:tcPr>
          <w:p>
            <w:pPr>
              <w:spacing w:line="0" w:lineRule="atLeast"/>
              <w:rPr>
                <w:rFonts w:hint="default" w:ascii="Times New Roman" w:hAnsi="Times New Roman" w:eastAsia="仿宋_GB2312" w:cs="Times New Roman"/>
                <w:color w:val="auto"/>
                <w:sz w:val="20"/>
                <w:szCs w:val="20"/>
              </w:rPr>
            </w:pPr>
            <w:r>
              <w:rPr>
                <w:rFonts w:hint="default" w:ascii="Times New Roman" w:hAnsi="Times New Roman" w:eastAsia="仿宋_GB2312" w:cs="Times New Roman"/>
                <w:color w:val="auto"/>
                <w:sz w:val="20"/>
                <w:szCs w:val="20"/>
              </w:rPr>
              <w:t>陈卫东</w:t>
            </w:r>
          </w:p>
        </w:tc>
      </w:tr>
    </w:tbl>
    <w:p>
      <w:pPr>
        <w:ind w:firstLine="640" w:firstLineChars="200"/>
        <w:jc w:val="left"/>
        <w:rPr>
          <w:rFonts w:hint="default" w:ascii="Times New Roman" w:hAnsi="Times New Roman" w:cs="Times New Roman"/>
          <w:color w:val="auto"/>
          <w:kern w:val="0"/>
          <w:sz w:val="32"/>
          <w:szCs w:val="32"/>
        </w:rPr>
      </w:pPr>
    </w:p>
    <w:p>
      <w:pPr>
        <w:spacing w:line="366" w:lineRule="exact"/>
        <w:rPr>
          <w:rFonts w:hint="default" w:ascii="Times New Roman" w:hAnsi="Times New Roman" w:eastAsia="宋体" w:cs="Times New Roman"/>
          <w:color w:val="auto"/>
          <w:sz w:val="32"/>
        </w:rPr>
      </w:pPr>
    </w:p>
    <w:p>
      <w:pPr>
        <w:spacing w:line="366" w:lineRule="exact"/>
        <w:rPr>
          <w:rFonts w:hint="default" w:ascii="Times New Roman" w:hAnsi="Times New Roman" w:eastAsia="宋体" w:cs="Times New Roman"/>
          <w:color w:val="auto"/>
          <w:sz w:val="32"/>
        </w:rPr>
      </w:pPr>
      <w:r>
        <w:rPr>
          <w:rFonts w:hint="default" w:ascii="Times New Roman" w:hAnsi="Times New Roman" w:eastAsia="宋体" w:cs="Times New Roman"/>
          <w:color w:val="auto"/>
          <w:sz w:val="32"/>
        </w:rPr>
        <w:t xml:space="preserve">附件 </w:t>
      </w:r>
      <w:r>
        <w:rPr>
          <w:rFonts w:hint="default" w:ascii="Times New Roman" w:hAnsi="Times New Roman" w:eastAsia="宋体" w:cs="Times New Roman"/>
          <w:color w:val="auto"/>
          <w:sz w:val="32"/>
        </w:rPr>
        <w:t>4</w:t>
      </w:r>
    </w:p>
    <w:p>
      <w:pPr>
        <w:spacing w:line="171" w:lineRule="exact"/>
        <w:rPr>
          <w:rFonts w:hint="default" w:ascii="Times New Roman" w:hAnsi="Times New Roman" w:eastAsia="Times New Roman" w:cs="Times New Roman"/>
          <w:color w:val="auto"/>
        </w:rPr>
      </w:pPr>
    </w:p>
    <w:p>
      <w:pPr>
        <w:spacing w:line="411" w:lineRule="exact"/>
        <w:jc w:val="center"/>
        <w:rPr>
          <w:rFonts w:hint="default" w:ascii="Times New Roman" w:hAnsi="Times New Roman" w:eastAsia="宋体" w:cs="Times New Roman"/>
          <w:color w:val="auto"/>
          <w:sz w:val="36"/>
        </w:rPr>
      </w:pPr>
      <w:r>
        <w:rPr>
          <w:rFonts w:hint="default" w:ascii="Times New Roman" w:hAnsi="Times New Roman" w:eastAsia="宋体" w:cs="Times New Roman"/>
          <w:color w:val="auto"/>
          <w:sz w:val="36"/>
        </w:rPr>
        <w:t>20</w:t>
      </w:r>
      <w:r>
        <w:rPr>
          <w:rFonts w:hint="default" w:ascii="Times New Roman" w:hAnsi="Times New Roman" w:eastAsia="宋体" w:cs="Times New Roman"/>
          <w:color w:val="auto"/>
          <w:sz w:val="36"/>
        </w:rPr>
        <w:t>20</w:t>
      </w:r>
      <w:r>
        <w:rPr>
          <w:rFonts w:hint="default" w:ascii="Times New Roman" w:hAnsi="Times New Roman" w:eastAsia="宋体" w:cs="Times New Roman"/>
          <w:color w:val="auto"/>
          <w:sz w:val="36"/>
        </w:rPr>
        <w:t xml:space="preserve"> 年度项目支出绩效自评表</w:t>
      </w:r>
    </w:p>
    <w:tbl>
      <w:tblPr>
        <w:tblStyle w:val="8"/>
        <w:tblW w:w="9785" w:type="dxa"/>
        <w:tblInd w:w="-3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1250"/>
        <w:gridCol w:w="1113"/>
        <w:gridCol w:w="2125"/>
        <w:gridCol w:w="675"/>
        <w:gridCol w:w="675"/>
        <w:gridCol w:w="637"/>
        <w:gridCol w:w="638"/>
        <w:gridCol w:w="1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956" w:type="dxa"/>
            <w:vAlign w:val="bottom"/>
          </w:tcPr>
          <w:p>
            <w:pPr>
              <w:spacing w:line="218" w:lineRule="exact"/>
              <w:jc w:val="center"/>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w w:val="98"/>
                <w:sz w:val="22"/>
                <w:szCs w:val="22"/>
              </w:rPr>
              <w:t>项目支出名称</w:t>
            </w:r>
          </w:p>
        </w:tc>
        <w:tc>
          <w:tcPr>
            <w:tcW w:w="8829" w:type="dxa"/>
            <w:gridSpan w:val="8"/>
          </w:tcPr>
          <w:p>
            <w:pPr>
              <w:spacing w:line="0" w:lineRule="atLeast"/>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sz w:val="22"/>
                <w:szCs w:val="22"/>
              </w:rPr>
              <w:t>运行维护专项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956" w:type="dxa"/>
            <w:vAlign w:val="bottom"/>
          </w:tcPr>
          <w:p>
            <w:pPr>
              <w:spacing w:line="240" w:lineRule="exact"/>
              <w:jc w:val="center"/>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sz w:val="22"/>
                <w:szCs w:val="22"/>
              </w:rPr>
              <w:t>主管部门</w:t>
            </w:r>
          </w:p>
        </w:tc>
        <w:tc>
          <w:tcPr>
            <w:tcW w:w="5163" w:type="dxa"/>
            <w:gridSpan w:val="4"/>
          </w:tcPr>
          <w:p>
            <w:pPr>
              <w:spacing w:line="0" w:lineRule="atLeast"/>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sz w:val="21"/>
                <w:szCs w:val="28"/>
              </w:rPr>
              <w:t>湖南省新闻出版广电局中波台管理中心</w:t>
            </w:r>
          </w:p>
        </w:tc>
        <w:tc>
          <w:tcPr>
            <w:tcW w:w="675" w:type="dxa"/>
          </w:tcPr>
          <w:p>
            <w:pPr>
              <w:spacing w:line="0" w:lineRule="atLeast"/>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w w:val="99"/>
                <w:sz w:val="22"/>
                <w:szCs w:val="22"/>
              </w:rPr>
              <w:t>实施单位</w:t>
            </w:r>
          </w:p>
        </w:tc>
        <w:tc>
          <w:tcPr>
            <w:tcW w:w="2991" w:type="dxa"/>
            <w:gridSpan w:val="3"/>
          </w:tcPr>
          <w:p>
            <w:pPr>
              <w:spacing w:line="0" w:lineRule="atLeast"/>
              <w:rPr>
                <w:rFonts w:hint="default" w:ascii="Times New Roman" w:hAnsi="Times New Roman" w:eastAsia="仿宋_GB2312"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956" w:type="dxa"/>
            <w:vMerge w:val="restart"/>
            <w:vAlign w:val="bottom"/>
          </w:tcPr>
          <w:p>
            <w:pPr>
              <w:spacing w:line="210" w:lineRule="exact"/>
              <w:jc w:val="center"/>
              <w:rPr>
                <w:rFonts w:hint="default" w:ascii="Times New Roman" w:hAnsi="Times New Roman" w:eastAsia="仿宋_GB2312" w:cs="Times New Roman"/>
                <w:color w:val="auto"/>
                <w:w w:val="99"/>
                <w:sz w:val="22"/>
                <w:szCs w:val="22"/>
              </w:rPr>
            </w:pPr>
            <w:r>
              <w:rPr>
                <w:rFonts w:hint="default" w:ascii="Times New Roman" w:hAnsi="Times New Roman" w:eastAsia="仿宋_GB2312" w:cs="Times New Roman"/>
                <w:color w:val="auto"/>
                <w:w w:val="99"/>
                <w:sz w:val="22"/>
                <w:szCs w:val="22"/>
              </w:rPr>
              <w:t>项目</w:t>
            </w:r>
          </w:p>
          <w:p>
            <w:pPr>
              <w:spacing w:line="210" w:lineRule="exact"/>
              <w:jc w:val="center"/>
              <w:rPr>
                <w:rFonts w:hint="default" w:ascii="Times New Roman" w:hAnsi="Times New Roman" w:eastAsia="仿宋_GB2312" w:cs="Times New Roman"/>
                <w:color w:val="auto"/>
                <w:w w:val="99"/>
                <w:sz w:val="22"/>
                <w:szCs w:val="22"/>
              </w:rPr>
            </w:pPr>
            <w:r>
              <w:rPr>
                <w:rFonts w:hint="default" w:ascii="Times New Roman" w:hAnsi="Times New Roman" w:eastAsia="仿宋_GB2312" w:cs="Times New Roman"/>
                <w:color w:val="auto"/>
                <w:w w:val="99"/>
                <w:sz w:val="22"/>
                <w:szCs w:val="22"/>
              </w:rPr>
              <w:t>资金</w:t>
            </w:r>
          </w:p>
          <w:p>
            <w:pPr>
              <w:spacing w:line="210" w:lineRule="exact"/>
              <w:jc w:val="center"/>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w w:val="99"/>
                <w:sz w:val="22"/>
                <w:szCs w:val="22"/>
              </w:rPr>
              <w:t>（万元）</w:t>
            </w:r>
          </w:p>
        </w:tc>
        <w:tc>
          <w:tcPr>
            <w:tcW w:w="2363" w:type="dxa"/>
            <w:gridSpan w:val="2"/>
          </w:tcPr>
          <w:p>
            <w:pPr>
              <w:spacing w:line="0" w:lineRule="atLeast"/>
              <w:rPr>
                <w:rFonts w:hint="default" w:ascii="Times New Roman" w:hAnsi="Times New Roman" w:eastAsia="仿宋_GB2312" w:cs="Times New Roman"/>
                <w:color w:val="auto"/>
                <w:sz w:val="22"/>
                <w:szCs w:val="22"/>
              </w:rPr>
            </w:pPr>
          </w:p>
        </w:tc>
        <w:tc>
          <w:tcPr>
            <w:tcW w:w="2125" w:type="dxa"/>
            <w:vAlign w:val="bottom"/>
          </w:tcPr>
          <w:p>
            <w:pPr>
              <w:spacing w:line="200" w:lineRule="exact"/>
              <w:jc w:val="center"/>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w w:val="99"/>
                <w:sz w:val="22"/>
                <w:szCs w:val="22"/>
              </w:rPr>
              <w:t>年初</w:t>
            </w:r>
            <w:r>
              <w:rPr>
                <w:rFonts w:hint="default" w:ascii="Times New Roman" w:hAnsi="Times New Roman" w:eastAsia="仿宋_GB2312" w:cs="Times New Roman"/>
                <w:color w:val="auto"/>
                <w:sz w:val="22"/>
                <w:szCs w:val="22"/>
              </w:rPr>
              <w:t>预算数</w:t>
            </w:r>
          </w:p>
        </w:tc>
        <w:tc>
          <w:tcPr>
            <w:tcW w:w="675" w:type="dxa"/>
            <w:vAlign w:val="bottom"/>
          </w:tcPr>
          <w:p>
            <w:pPr>
              <w:spacing w:line="200" w:lineRule="exact"/>
              <w:jc w:val="center"/>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w w:val="99"/>
                <w:sz w:val="22"/>
                <w:szCs w:val="22"/>
              </w:rPr>
              <w:t>全年</w:t>
            </w:r>
            <w:r>
              <w:rPr>
                <w:rFonts w:hint="default" w:ascii="Times New Roman" w:hAnsi="Times New Roman" w:eastAsia="仿宋_GB2312" w:cs="Times New Roman"/>
                <w:color w:val="auto"/>
                <w:sz w:val="22"/>
                <w:szCs w:val="22"/>
              </w:rPr>
              <w:t>预算数</w:t>
            </w:r>
          </w:p>
        </w:tc>
        <w:tc>
          <w:tcPr>
            <w:tcW w:w="675" w:type="dxa"/>
            <w:vAlign w:val="bottom"/>
          </w:tcPr>
          <w:p>
            <w:pPr>
              <w:spacing w:line="200" w:lineRule="exact"/>
              <w:jc w:val="center"/>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w w:val="99"/>
                <w:sz w:val="22"/>
                <w:szCs w:val="22"/>
              </w:rPr>
              <w:t>全年</w:t>
            </w:r>
            <w:r>
              <w:rPr>
                <w:rFonts w:hint="default" w:ascii="Times New Roman" w:hAnsi="Times New Roman" w:eastAsia="仿宋_GB2312" w:cs="Times New Roman"/>
                <w:color w:val="auto"/>
                <w:w w:val="98"/>
                <w:sz w:val="22"/>
                <w:szCs w:val="22"/>
              </w:rPr>
              <w:t>执行数</w:t>
            </w:r>
          </w:p>
        </w:tc>
        <w:tc>
          <w:tcPr>
            <w:tcW w:w="637" w:type="dxa"/>
            <w:vAlign w:val="bottom"/>
          </w:tcPr>
          <w:p>
            <w:pPr>
              <w:spacing w:line="240" w:lineRule="exact"/>
              <w:jc w:val="center"/>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w w:val="99"/>
                <w:sz w:val="22"/>
                <w:szCs w:val="22"/>
              </w:rPr>
              <w:t>分值</w:t>
            </w:r>
          </w:p>
        </w:tc>
        <w:tc>
          <w:tcPr>
            <w:tcW w:w="638" w:type="dxa"/>
            <w:vAlign w:val="bottom"/>
          </w:tcPr>
          <w:p>
            <w:pPr>
              <w:spacing w:line="240" w:lineRule="exact"/>
              <w:jc w:val="center"/>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sz w:val="22"/>
                <w:szCs w:val="22"/>
              </w:rPr>
              <w:t>执行率</w:t>
            </w:r>
          </w:p>
        </w:tc>
        <w:tc>
          <w:tcPr>
            <w:tcW w:w="1716" w:type="dxa"/>
            <w:vAlign w:val="bottom"/>
          </w:tcPr>
          <w:p>
            <w:pPr>
              <w:spacing w:line="240" w:lineRule="exact"/>
              <w:jc w:val="center"/>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w w:val="99"/>
                <w:sz w:val="22"/>
                <w:szCs w:val="22"/>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56" w:type="dxa"/>
            <w:vMerge w:val="continue"/>
          </w:tcPr>
          <w:p>
            <w:pPr>
              <w:spacing w:line="0" w:lineRule="atLeast"/>
              <w:rPr>
                <w:rFonts w:hint="default" w:ascii="Times New Roman" w:hAnsi="Times New Roman" w:eastAsia="仿宋_GB2312" w:cs="Times New Roman"/>
                <w:color w:val="auto"/>
                <w:sz w:val="22"/>
                <w:szCs w:val="22"/>
              </w:rPr>
            </w:pPr>
          </w:p>
        </w:tc>
        <w:tc>
          <w:tcPr>
            <w:tcW w:w="2363" w:type="dxa"/>
            <w:gridSpan w:val="2"/>
          </w:tcPr>
          <w:p>
            <w:pPr>
              <w:spacing w:line="0" w:lineRule="atLeast"/>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sz w:val="22"/>
                <w:szCs w:val="22"/>
              </w:rPr>
              <w:t>年度资金总额</w:t>
            </w:r>
          </w:p>
        </w:tc>
        <w:tc>
          <w:tcPr>
            <w:tcW w:w="2125" w:type="dxa"/>
            <w:vAlign w:val="bottom"/>
          </w:tcPr>
          <w:p>
            <w:pPr>
              <w:spacing w:line="240" w:lineRule="exact"/>
              <w:jc w:val="center"/>
              <w:rPr>
                <w:rFonts w:hint="default" w:ascii="Times New Roman" w:hAnsi="Times New Roman" w:eastAsia="仿宋_GB2312" w:cs="Times New Roman"/>
                <w:color w:val="auto"/>
                <w:sz w:val="22"/>
                <w:szCs w:val="22"/>
              </w:rPr>
            </w:pPr>
          </w:p>
        </w:tc>
        <w:tc>
          <w:tcPr>
            <w:tcW w:w="675" w:type="dxa"/>
            <w:vAlign w:val="bottom"/>
          </w:tcPr>
          <w:p>
            <w:pPr>
              <w:spacing w:line="240" w:lineRule="exact"/>
              <w:jc w:val="center"/>
              <w:rPr>
                <w:rFonts w:hint="default" w:ascii="Times New Roman" w:hAnsi="Times New Roman" w:eastAsia="仿宋_GB2312" w:cs="Times New Roman"/>
                <w:color w:val="auto"/>
                <w:sz w:val="20"/>
                <w:szCs w:val="20"/>
              </w:rPr>
            </w:pPr>
            <w:r>
              <w:rPr>
                <w:rFonts w:hint="default" w:ascii="Times New Roman" w:hAnsi="Times New Roman" w:eastAsia="仿宋_GB2312" w:cs="Times New Roman"/>
                <w:color w:val="auto"/>
                <w:sz w:val="20"/>
                <w:szCs w:val="20"/>
              </w:rPr>
              <w:t>14.11</w:t>
            </w:r>
          </w:p>
        </w:tc>
        <w:tc>
          <w:tcPr>
            <w:tcW w:w="675" w:type="dxa"/>
            <w:vAlign w:val="bottom"/>
          </w:tcPr>
          <w:p>
            <w:pPr>
              <w:spacing w:line="240" w:lineRule="exact"/>
              <w:jc w:val="center"/>
              <w:rPr>
                <w:rFonts w:hint="default" w:ascii="Times New Roman" w:hAnsi="Times New Roman" w:eastAsia="仿宋_GB2312" w:cs="Times New Roman"/>
                <w:color w:val="auto"/>
                <w:sz w:val="20"/>
                <w:szCs w:val="20"/>
              </w:rPr>
            </w:pPr>
            <w:r>
              <w:rPr>
                <w:rFonts w:hint="default" w:ascii="Times New Roman" w:hAnsi="Times New Roman" w:eastAsia="仿宋_GB2312" w:cs="Times New Roman"/>
                <w:color w:val="auto"/>
                <w:sz w:val="20"/>
                <w:szCs w:val="20"/>
              </w:rPr>
              <w:t>10.95</w:t>
            </w:r>
          </w:p>
        </w:tc>
        <w:tc>
          <w:tcPr>
            <w:tcW w:w="637" w:type="dxa"/>
          </w:tcPr>
          <w:p>
            <w:pPr>
              <w:spacing w:line="0" w:lineRule="atLeast"/>
              <w:rPr>
                <w:rFonts w:hint="default" w:ascii="Times New Roman" w:hAnsi="Times New Roman" w:eastAsia="仿宋_GB2312" w:cs="Times New Roman"/>
                <w:color w:val="auto"/>
                <w:sz w:val="20"/>
                <w:szCs w:val="20"/>
              </w:rPr>
            </w:pPr>
            <w:r>
              <w:rPr>
                <w:rFonts w:hint="default" w:ascii="Times New Roman" w:hAnsi="Times New Roman" w:eastAsia="仿宋_GB2312" w:cs="Times New Roman"/>
                <w:color w:val="auto"/>
                <w:sz w:val="20"/>
                <w:szCs w:val="20"/>
              </w:rPr>
              <w:t>10</w:t>
            </w:r>
          </w:p>
        </w:tc>
        <w:tc>
          <w:tcPr>
            <w:tcW w:w="638" w:type="dxa"/>
          </w:tcPr>
          <w:p>
            <w:pPr>
              <w:spacing w:line="0" w:lineRule="atLeast"/>
              <w:rPr>
                <w:rFonts w:hint="default" w:ascii="Times New Roman" w:hAnsi="Times New Roman" w:eastAsia="仿宋_GB2312" w:cs="Times New Roman"/>
                <w:color w:val="auto"/>
                <w:sz w:val="20"/>
                <w:szCs w:val="20"/>
              </w:rPr>
            </w:pPr>
            <w:r>
              <w:rPr>
                <w:rFonts w:hint="default" w:ascii="Times New Roman" w:hAnsi="Times New Roman" w:eastAsia="仿宋_GB2312" w:cs="Times New Roman"/>
                <w:color w:val="auto"/>
                <w:sz w:val="20"/>
                <w:szCs w:val="20"/>
              </w:rPr>
              <w:t>77%</w:t>
            </w:r>
          </w:p>
        </w:tc>
        <w:tc>
          <w:tcPr>
            <w:tcW w:w="1716" w:type="dxa"/>
          </w:tcPr>
          <w:p>
            <w:pPr>
              <w:spacing w:line="0" w:lineRule="atLeast"/>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sz w:val="22"/>
                <w:szCs w:val="2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956" w:type="dxa"/>
            <w:vMerge w:val="continue"/>
          </w:tcPr>
          <w:p>
            <w:pPr>
              <w:spacing w:line="0" w:lineRule="atLeast"/>
              <w:rPr>
                <w:rFonts w:hint="default" w:ascii="Times New Roman" w:hAnsi="Times New Roman" w:eastAsia="仿宋_GB2312" w:cs="Times New Roman"/>
                <w:color w:val="auto"/>
                <w:sz w:val="22"/>
                <w:szCs w:val="22"/>
              </w:rPr>
            </w:pPr>
          </w:p>
        </w:tc>
        <w:tc>
          <w:tcPr>
            <w:tcW w:w="2363" w:type="dxa"/>
            <w:gridSpan w:val="2"/>
          </w:tcPr>
          <w:p>
            <w:pPr>
              <w:spacing w:line="0" w:lineRule="atLeast"/>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sz w:val="22"/>
                <w:szCs w:val="22"/>
              </w:rPr>
              <w:t>其中：当年财政拨款</w:t>
            </w:r>
          </w:p>
        </w:tc>
        <w:tc>
          <w:tcPr>
            <w:tcW w:w="2125" w:type="dxa"/>
          </w:tcPr>
          <w:p>
            <w:pPr>
              <w:spacing w:line="0" w:lineRule="atLeast"/>
              <w:rPr>
                <w:rFonts w:hint="default" w:ascii="Times New Roman" w:hAnsi="Times New Roman" w:eastAsia="仿宋_GB2312" w:cs="Times New Roman"/>
                <w:color w:val="auto"/>
                <w:sz w:val="22"/>
                <w:szCs w:val="22"/>
              </w:rPr>
            </w:pPr>
          </w:p>
        </w:tc>
        <w:tc>
          <w:tcPr>
            <w:tcW w:w="675" w:type="dxa"/>
          </w:tcPr>
          <w:p>
            <w:pPr>
              <w:spacing w:line="0" w:lineRule="atLeast"/>
              <w:rPr>
                <w:rFonts w:hint="default" w:ascii="Times New Roman" w:hAnsi="Times New Roman" w:eastAsia="仿宋_GB2312" w:cs="Times New Roman"/>
                <w:color w:val="auto"/>
                <w:sz w:val="20"/>
                <w:szCs w:val="20"/>
              </w:rPr>
            </w:pPr>
            <w:r>
              <w:rPr>
                <w:rFonts w:hint="default" w:ascii="Times New Roman" w:hAnsi="Times New Roman" w:eastAsia="仿宋_GB2312" w:cs="Times New Roman"/>
                <w:color w:val="auto"/>
                <w:sz w:val="20"/>
                <w:szCs w:val="20"/>
              </w:rPr>
              <w:t>14.11</w:t>
            </w:r>
          </w:p>
        </w:tc>
        <w:tc>
          <w:tcPr>
            <w:tcW w:w="675" w:type="dxa"/>
          </w:tcPr>
          <w:p>
            <w:pPr>
              <w:spacing w:line="0" w:lineRule="atLeast"/>
              <w:rPr>
                <w:rFonts w:hint="default" w:ascii="Times New Roman" w:hAnsi="Times New Roman" w:eastAsia="仿宋_GB2312" w:cs="Times New Roman"/>
                <w:color w:val="auto"/>
                <w:sz w:val="20"/>
                <w:szCs w:val="20"/>
              </w:rPr>
            </w:pPr>
            <w:r>
              <w:rPr>
                <w:rFonts w:hint="default" w:ascii="Times New Roman" w:hAnsi="Times New Roman" w:eastAsia="仿宋_GB2312" w:cs="Times New Roman"/>
                <w:color w:val="auto"/>
                <w:sz w:val="20"/>
                <w:szCs w:val="20"/>
              </w:rPr>
              <w:t>10.95</w:t>
            </w:r>
          </w:p>
        </w:tc>
        <w:tc>
          <w:tcPr>
            <w:tcW w:w="637" w:type="dxa"/>
          </w:tcPr>
          <w:p>
            <w:pPr>
              <w:spacing w:line="0" w:lineRule="atLeast"/>
              <w:rPr>
                <w:rFonts w:hint="default" w:ascii="Times New Roman" w:hAnsi="Times New Roman" w:eastAsia="仿宋_GB2312" w:cs="Times New Roman"/>
                <w:color w:val="auto"/>
                <w:sz w:val="20"/>
                <w:szCs w:val="20"/>
              </w:rPr>
            </w:pPr>
          </w:p>
        </w:tc>
        <w:tc>
          <w:tcPr>
            <w:tcW w:w="638" w:type="dxa"/>
          </w:tcPr>
          <w:p>
            <w:pPr>
              <w:spacing w:line="0" w:lineRule="atLeast"/>
              <w:rPr>
                <w:rFonts w:hint="default" w:ascii="Times New Roman" w:hAnsi="Times New Roman" w:eastAsia="仿宋_GB2312" w:cs="Times New Roman"/>
                <w:color w:val="auto"/>
                <w:sz w:val="20"/>
                <w:szCs w:val="20"/>
              </w:rPr>
            </w:pPr>
          </w:p>
        </w:tc>
        <w:tc>
          <w:tcPr>
            <w:tcW w:w="1716" w:type="dxa"/>
          </w:tcPr>
          <w:p>
            <w:pPr>
              <w:spacing w:line="0" w:lineRule="atLeast"/>
              <w:rPr>
                <w:rFonts w:hint="default" w:ascii="Times New Roman" w:hAnsi="Times New Roman" w:eastAsia="仿宋_GB2312"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956" w:type="dxa"/>
            <w:vMerge w:val="continue"/>
          </w:tcPr>
          <w:p>
            <w:pPr>
              <w:spacing w:line="0" w:lineRule="atLeast"/>
              <w:rPr>
                <w:rFonts w:hint="default" w:ascii="Times New Roman" w:hAnsi="Times New Roman" w:eastAsia="仿宋_GB2312" w:cs="Times New Roman"/>
                <w:color w:val="auto"/>
                <w:sz w:val="22"/>
                <w:szCs w:val="22"/>
              </w:rPr>
            </w:pPr>
          </w:p>
        </w:tc>
        <w:tc>
          <w:tcPr>
            <w:tcW w:w="2363" w:type="dxa"/>
            <w:gridSpan w:val="2"/>
          </w:tcPr>
          <w:p>
            <w:pPr>
              <w:spacing w:line="0" w:lineRule="atLeast"/>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sz w:val="22"/>
                <w:szCs w:val="22"/>
              </w:rPr>
              <w:t>上年结转资金</w:t>
            </w:r>
          </w:p>
        </w:tc>
        <w:tc>
          <w:tcPr>
            <w:tcW w:w="2125" w:type="dxa"/>
          </w:tcPr>
          <w:p>
            <w:pPr>
              <w:spacing w:line="0" w:lineRule="atLeast"/>
              <w:rPr>
                <w:rFonts w:hint="default" w:ascii="Times New Roman" w:hAnsi="Times New Roman" w:eastAsia="仿宋_GB2312" w:cs="Times New Roman"/>
                <w:color w:val="auto"/>
                <w:sz w:val="22"/>
                <w:szCs w:val="22"/>
              </w:rPr>
            </w:pPr>
          </w:p>
        </w:tc>
        <w:tc>
          <w:tcPr>
            <w:tcW w:w="675" w:type="dxa"/>
          </w:tcPr>
          <w:p>
            <w:pPr>
              <w:spacing w:line="0" w:lineRule="atLeast"/>
              <w:rPr>
                <w:rFonts w:hint="default" w:ascii="Times New Roman" w:hAnsi="Times New Roman" w:eastAsia="仿宋_GB2312" w:cs="Times New Roman"/>
                <w:color w:val="auto"/>
                <w:sz w:val="22"/>
                <w:szCs w:val="22"/>
              </w:rPr>
            </w:pPr>
          </w:p>
        </w:tc>
        <w:tc>
          <w:tcPr>
            <w:tcW w:w="675" w:type="dxa"/>
          </w:tcPr>
          <w:p>
            <w:pPr>
              <w:spacing w:line="0" w:lineRule="atLeast"/>
              <w:rPr>
                <w:rFonts w:hint="default" w:ascii="Times New Roman" w:hAnsi="Times New Roman" w:eastAsia="仿宋_GB2312" w:cs="Times New Roman"/>
                <w:color w:val="auto"/>
                <w:sz w:val="22"/>
                <w:szCs w:val="22"/>
              </w:rPr>
            </w:pPr>
          </w:p>
        </w:tc>
        <w:tc>
          <w:tcPr>
            <w:tcW w:w="637" w:type="dxa"/>
          </w:tcPr>
          <w:p>
            <w:pPr>
              <w:spacing w:line="0" w:lineRule="atLeast"/>
              <w:rPr>
                <w:rFonts w:hint="default" w:ascii="Times New Roman" w:hAnsi="Times New Roman" w:eastAsia="仿宋_GB2312" w:cs="Times New Roman"/>
                <w:color w:val="auto"/>
                <w:sz w:val="22"/>
                <w:szCs w:val="22"/>
              </w:rPr>
            </w:pPr>
          </w:p>
        </w:tc>
        <w:tc>
          <w:tcPr>
            <w:tcW w:w="638" w:type="dxa"/>
          </w:tcPr>
          <w:p>
            <w:pPr>
              <w:spacing w:line="0" w:lineRule="atLeast"/>
              <w:rPr>
                <w:rFonts w:hint="default" w:ascii="Times New Roman" w:hAnsi="Times New Roman" w:eastAsia="仿宋_GB2312" w:cs="Times New Roman"/>
                <w:color w:val="auto"/>
                <w:sz w:val="22"/>
                <w:szCs w:val="22"/>
              </w:rPr>
            </w:pPr>
          </w:p>
        </w:tc>
        <w:tc>
          <w:tcPr>
            <w:tcW w:w="1716" w:type="dxa"/>
          </w:tcPr>
          <w:p>
            <w:pPr>
              <w:spacing w:line="0" w:lineRule="atLeast"/>
              <w:rPr>
                <w:rFonts w:hint="default" w:ascii="Times New Roman" w:hAnsi="Times New Roman" w:eastAsia="仿宋_GB2312"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956" w:type="dxa"/>
            <w:vMerge w:val="continue"/>
          </w:tcPr>
          <w:p>
            <w:pPr>
              <w:spacing w:line="0" w:lineRule="atLeast"/>
              <w:rPr>
                <w:rFonts w:hint="default" w:ascii="Times New Roman" w:hAnsi="Times New Roman" w:eastAsia="仿宋_GB2312" w:cs="Times New Roman"/>
                <w:color w:val="auto"/>
                <w:sz w:val="22"/>
                <w:szCs w:val="22"/>
              </w:rPr>
            </w:pPr>
          </w:p>
        </w:tc>
        <w:tc>
          <w:tcPr>
            <w:tcW w:w="2363" w:type="dxa"/>
            <w:gridSpan w:val="2"/>
          </w:tcPr>
          <w:p>
            <w:pPr>
              <w:spacing w:line="0" w:lineRule="atLeast"/>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sz w:val="22"/>
                <w:szCs w:val="22"/>
              </w:rPr>
              <w:t>其他资金</w:t>
            </w:r>
          </w:p>
        </w:tc>
        <w:tc>
          <w:tcPr>
            <w:tcW w:w="2125" w:type="dxa"/>
          </w:tcPr>
          <w:p>
            <w:pPr>
              <w:spacing w:line="0" w:lineRule="atLeast"/>
              <w:rPr>
                <w:rFonts w:hint="default" w:ascii="Times New Roman" w:hAnsi="Times New Roman" w:eastAsia="仿宋_GB2312" w:cs="Times New Roman"/>
                <w:color w:val="auto"/>
                <w:sz w:val="22"/>
                <w:szCs w:val="22"/>
              </w:rPr>
            </w:pPr>
          </w:p>
        </w:tc>
        <w:tc>
          <w:tcPr>
            <w:tcW w:w="675" w:type="dxa"/>
          </w:tcPr>
          <w:p>
            <w:pPr>
              <w:spacing w:line="0" w:lineRule="atLeast"/>
              <w:rPr>
                <w:rFonts w:hint="default" w:ascii="Times New Roman" w:hAnsi="Times New Roman" w:eastAsia="仿宋_GB2312" w:cs="Times New Roman"/>
                <w:color w:val="auto"/>
                <w:sz w:val="22"/>
                <w:szCs w:val="22"/>
              </w:rPr>
            </w:pPr>
          </w:p>
        </w:tc>
        <w:tc>
          <w:tcPr>
            <w:tcW w:w="675" w:type="dxa"/>
          </w:tcPr>
          <w:p>
            <w:pPr>
              <w:spacing w:line="0" w:lineRule="atLeast"/>
              <w:rPr>
                <w:rFonts w:hint="default" w:ascii="Times New Roman" w:hAnsi="Times New Roman" w:eastAsia="仿宋_GB2312" w:cs="Times New Roman"/>
                <w:color w:val="auto"/>
                <w:sz w:val="22"/>
                <w:szCs w:val="22"/>
              </w:rPr>
            </w:pPr>
          </w:p>
        </w:tc>
        <w:tc>
          <w:tcPr>
            <w:tcW w:w="637" w:type="dxa"/>
          </w:tcPr>
          <w:p>
            <w:pPr>
              <w:spacing w:line="0" w:lineRule="atLeast"/>
              <w:rPr>
                <w:rFonts w:hint="default" w:ascii="Times New Roman" w:hAnsi="Times New Roman" w:eastAsia="仿宋_GB2312" w:cs="Times New Roman"/>
                <w:color w:val="auto"/>
                <w:sz w:val="22"/>
                <w:szCs w:val="22"/>
              </w:rPr>
            </w:pPr>
          </w:p>
        </w:tc>
        <w:tc>
          <w:tcPr>
            <w:tcW w:w="638" w:type="dxa"/>
          </w:tcPr>
          <w:p>
            <w:pPr>
              <w:spacing w:line="0" w:lineRule="atLeast"/>
              <w:rPr>
                <w:rFonts w:hint="default" w:ascii="Times New Roman" w:hAnsi="Times New Roman" w:eastAsia="仿宋_GB2312" w:cs="Times New Roman"/>
                <w:color w:val="auto"/>
                <w:sz w:val="22"/>
                <w:szCs w:val="22"/>
              </w:rPr>
            </w:pPr>
          </w:p>
        </w:tc>
        <w:tc>
          <w:tcPr>
            <w:tcW w:w="1716" w:type="dxa"/>
          </w:tcPr>
          <w:p>
            <w:pPr>
              <w:spacing w:line="0" w:lineRule="atLeast"/>
              <w:rPr>
                <w:rFonts w:hint="default" w:ascii="Times New Roman" w:hAnsi="Times New Roman" w:eastAsia="仿宋_GB2312"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956" w:type="dxa"/>
            <w:vMerge w:val="restart"/>
            <w:vAlign w:val="bottom"/>
          </w:tcPr>
          <w:p>
            <w:pPr>
              <w:spacing w:line="206" w:lineRule="exact"/>
              <w:jc w:val="center"/>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w w:val="99"/>
                <w:sz w:val="22"/>
                <w:szCs w:val="22"/>
              </w:rPr>
              <w:t>年度总体目标</w:t>
            </w:r>
          </w:p>
        </w:tc>
        <w:tc>
          <w:tcPr>
            <w:tcW w:w="5163" w:type="dxa"/>
            <w:gridSpan w:val="4"/>
          </w:tcPr>
          <w:p>
            <w:pPr>
              <w:spacing w:line="0" w:lineRule="atLeast"/>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w w:val="99"/>
                <w:sz w:val="22"/>
                <w:szCs w:val="22"/>
              </w:rPr>
              <w:t>预期目标</w:t>
            </w:r>
          </w:p>
        </w:tc>
        <w:tc>
          <w:tcPr>
            <w:tcW w:w="3666" w:type="dxa"/>
            <w:gridSpan w:val="4"/>
          </w:tcPr>
          <w:p>
            <w:pPr>
              <w:spacing w:line="0" w:lineRule="atLeast"/>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sz w:val="22"/>
                <w:szCs w:val="22"/>
              </w:rPr>
              <w:t>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956" w:type="dxa"/>
            <w:vMerge w:val="continue"/>
            <w:vAlign w:val="bottom"/>
          </w:tcPr>
          <w:p>
            <w:pPr>
              <w:spacing w:line="199" w:lineRule="exact"/>
              <w:jc w:val="center"/>
              <w:rPr>
                <w:rFonts w:hint="default" w:ascii="Times New Roman" w:hAnsi="Times New Roman" w:eastAsia="仿宋_GB2312" w:cs="Times New Roman"/>
                <w:color w:val="auto"/>
                <w:sz w:val="22"/>
                <w:szCs w:val="22"/>
              </w:rPr>
            </w:pPr>
          </w:p>
        </w:tc>
        <w:tc>
          <w:tcPr>
            <w:tcW w:w="5163" w:type="dxa"/>
            <w:gridSpan w:val="4"/>
          </w:tcPr>
          <w:p>
            <w:pPr>
              <w:spacing w:line="0" w:lineRule="atLeast"/>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sz w:val="22"/>
                <w:szCs w:val="22"/>
              </w:rPr>
              <w:t>通过维修保证设备的完整性，保证相关设备高效性，保障日常运转，满足群众对优质播出的需求。</w:t>
            </w:r>
          </w:p>
        </w:tc>
        <w:tc>
          <w:tcPr>
            <w:tcW w:w="3666" w:type="dxa"/>
            <w:gridSpan w:val="4"/>
          </w:tcPr>
          <w:p>
            <w:pPr>
              <w:spacing w:line="0" w:lineRule="atLeast"/>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sz w:val="22"/>
                <w:szCs w:val="22"/>
              </w:rPr>
              <w:t>全年安全播出无事故。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vMerge w:val="restart"/>
            <w:vAlign w:val="center"/>
          </w:tcPr>
          <w:p>
            <w:pPr>
              <w:spacing w:line="240" w:lineRule="exact"/>
              <w:jc w:val="center"/>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sz w:val="22"/>
                <w:szCs w:val="22"/>
              </w:rPr>
              <w:t>绩</w:t>
            </w:r>
          </w:p>
          <w:p>
            <w:pPr>
              <w:spacing w:line="240" w:lineRule="exact"/>
              <w:jc w:val="center"/>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sz w:val="22"/>
                <w:szCs w:val="22"/>
              </w:rPr>
              <w:t>效</w:t>
            </w:r>
          </w:p>
          <w:p>
            <w:pPr>
              <w:spacing w:line="240" w:lineRule="exact"/>
              <w:jc w:val="center"/>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sz w:val="22"/>
                <w:szCs w:val="22"/>
              </w:rPr>
              <w:t>指</w:t>
            </w:r>
          </w:p>
          <w:p>
            <w:pPr>
              <w:spacing w:line="240" w:lineRule="exact"/>
              <w:jc w:val="center"/>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sz w:val="22"/>
                <w:szCs w:val="22"/>
              </w:rPr>
              <w:t>标</w:t>
            </w:r>
          </w:p>
        </w:tc>
        <w:tc>
          <w:tcPr>
            <w:tcW w:w="1250" w:type="dxa"/>
            <w:vAlign w:val="bottom"/>
          </w:tcPr>
          <w:p>
            <w:pPr>
              <w:spacing w:line="223"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w w:val="99"/>
                <w:sz w:val="24"/>
                <w:szCs w:val="24"/>
              </w:rPr>
              <w:t>一级指标</w:t>
            </w:r>
          </w:p>
        </w:tc>
        <w:tc>
          <w:tcPr>
            <w:tcW w:w="1113" w:type="dxa"/>
            <w:vAlign w:val="bottom"/>
          </w:tcPr>
          <w:p>
            <w:pPr>
              <w:spacing w:line="223"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w w:val="99"/>
                <w:sz w:val="24"/>
                <w:szCs w:val="24"/>
              </w:rPr>
              <w:t>二级指标</w:t>
            </w:r>
          </w:p>
        </w:tc>
        <w:tc>
          <w:tcPr>
            <w:tcW w:w="2125" w:type="dxa"/>
            <w:vAlign w:val="bottom"/>
          </w:tcPr>
          <w:p>
            <w:pPr>
              <w:spacing w:line="0" w:lineRule="atLeas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w w:val="99"/>
                <w:sz w:val="24"/>
                <w:szCs w:val="24"/>
              </w:rPr>
              <w:t>三级指标</w:t>
            </w:r>
          </w:p>
        </w:tc>
        <w:tc>
          <w:tcPr>
            <w:tcW w:w="675" w:type="dxa"/>
            <w:vAlign w:val="bottom"/>
          </w:tcPr>
          <w:p>
            <w:pPr>
              <w:spacing w:line="24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w w:val="99"/>
                <w:sz w:val="24"/>
                <w:szCs w:val="24"/>
              </w:rPr>
              <w:t>年度</w:t>
            </w:r>
            <w:r>
              <w:rPr>
                <w:rFonts w:hint="default" w:ascii="Times New Roman" w:hAnsi="Times New Roman" w:eastAsia="仿宋_GB2312" w:cs="Times New Roman"/>
                <w:color w:val="auto"/>
                <w:sz w:val="24"/>
                <w:szCs w:val="24"/>
              </w:rPr>
              <w:t>指标值</w:t>
            </w:r>
          </w:p>
        </w:tc>
        <w:tc>
          <w:tcPr>
            <w:tcW w:w="675" w:type="dxa"/>
            <w:vAlign w:val="bottom"/>
          </w:tcPr>
          <w:p>
            <w:pPr>
              <w:spacing w:line="24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w w:val="99"/>
                <w:sz w:val="24"/>
                <w:szCs w:val="24"/>
              </w:rPr>
              <w:t>实际</w:t>
            </w:r>
            <w:r>
              <w:rPr>
                <w:rFonts w:hint="default" w:ascii="Times New Roman" w:hAnsi="Times New Roman" w:eastAsia="仿宋_GB2312" w:cs="Times New Roman"/>
                <w:color w:val="auto"/>
                <w:w w:val="98"/>
                <w:sz w:val="24"/>
                <w:szCs w:val="24"/>
              </w:rPr>
              <w:t>完成值</w:t>
            </w:r>
          </w:p>
        </w:tc>
        <w:tc>
          <w:tcPr>
            <w:tcW w:w="637" w:type="dxa"/>
            <w:vAlign w:val="bottom"/>
          </w:tcPr>
          <w:p>
            <w:pPr>
              <w:spacing w:line="223"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w w:val="99"/>
                <w:sz w:val="24"/>
                <w:szCs w:val="24"/>
              </w:rPr>
              <w:t>分值</w:t>
            </w:r>
          </w:p>
        </w:tc>
        <w:tc>
          <w:tcPr>
            <w:tcW w:w="638" w:type="dxa"/>
            <w:vAlign w:val="bottom"/>
          </w:tcPr>
          <w:p>
            <w:pPr>
              <w:spacing w:line="223"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w w:val="99"/>
                <w:sz w:val="24"/>
                <w:szCs w:val="24"/>
              </w:rPr>
              <w:t>得分</w:t>
            </w:r>
          </w:p>
        </w:tc>
        <w:tc>
          <w:tcPr>
            <w:tcW w:w="1716" w:type="dxa"/>
            <w:vAlign w:val="bottom"/>
          </w:tcPr>
          <w:p>
            <w:pPr>
              <w:spacing w:line="198"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w w:val="99"/>
                <w:sz w:val="24"/>
                <w:szCs w:val="24"/>
              </w:rPr>
              <w:t>偏差原因</w:t>
            </w:r>
            <w:r>
              <w:rPr>
                <w:rFonts w:hint="default" w:ascii="Times New Roman" w:hAnsi="Times New Roman" w:eastAsia="仿宋_GB2312" w:cs="Times New Roman"/>
                <w:color w:val="auto"/>
                <w:w w:val="98"/>
                <w:sz w:val="24"/>
                <w:szCs w:val="24"/>
              </w:rPr>
              <w:t>分析及</w:t>
            </w:r>
            <w:r>
              <w:rPr>
                <w:rFonts w:hint="default" w:ascii="Times New Roman" w:hAnsi="Times New Roman" w:eastAsia="仿宋_GB2312" w:cs="Times New Roman"/>
                <w:color w:val="auto"/>
                <w:w w:val="99"/>
                <w:sz w:val="24"/>
                <w:szCs w:val="24"/>
              </w:rPr>
              <w:t>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956" w:type="dxa"/>
            <w:vMerge w:val="continue"/>
            <w:vAlign w:val="center"/>
          </w:tcPr>
          <w:p>
            <w:pPr>
              <w:spacing w:line="0" w:lineRule="atLeast"/>
              <w:jc w:val="center"/>
              <w:rPr>
                <w:rFonts w:hint="default" w:ascii="Times New Roman" w:hAnsi="Times New Roman" w:eastAsia="仿宋_GB2312" w:cs="Times New Roman"/>
                <w:color w:val="auto"/>
                <w:sz w:val="22"/>
                <w:szCs w:val="22"/>
              </w:rPr>
            </w:pPr>
          </w:p>
        </w:tc>
        <w:tc>
          <w:tcPr>
            <w:tcW w:w="1250" w:type="dxa"/>
            <w:vMerge w:val="restart"/>
            <w:vAlign w:val="center"/>
          </w:tcPr>
          <w:p>
            <w:pPr>
              <w:spacing w:line="24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w w:val="99"/>
                <w:sz w:val="24"/>
                <w:szCs w:val="24"/>
              </w:rPr>
              <w:t>产出指标</w:t>
            </w:r>
            <w:r>
              <w:rPr>
                <w:rFonts w:hint="default" w:ascii="Times New Roman" w:hAnsi="Times New Roman" w:eastAsia="仿宋_GB2312" w:cs="Times New Roman"/>
                <w:color w:val="auto"/>
                <w:w w:val="92"/>
                <w:sz w:val="24"/>
                <w:szCs w:val="24"/>
              </w:rPr>
              <w:t>(50 分)</w:t>
            </w:r>
          </w:p>
        </w:tc>
        <w:tc>
          <w:tcPr>
            <w:tcW w:w="1113" w:type="dxa"/>
            <w:vMerge w:val="restart"/>
          </w:tcPr>
          <w:p>
            <w:pPr>
              <w:spacing w:line="0" w:lineRule="atLeas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w w:val="99"/>
                <w:sz w:val="24"/>
                <w:szCs w:val="24"/>
              </w:rPr>
              <w:t>数量指标</w:t>
            </w:r>
          </w:p>
        </w:tc>
        <w:tc>
          <w:tcPr>
            <w:tcW w:w="2125" w:type="dxa"/>
            <w:vAlign w:val="bottom"/>
          </w:tcPr>
          <w:p>
            <w:pPr>
              <w:spacing w:line="199" w:lineRule="exact"/>
              <w:ind w:left="40"/>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指标 1：满功率度</w:t>
            </w:r>
          </w:p>
        </w:tc>
        <w:tc>
          <w:tcPr>
            <w:tcW w:w="675" w:type="dxa"/>
          </w:tcPr>
          <w:p>
            <w:pPr>
              <w:spacing w:line="0" w:lineRule="atLeast"/>
              <w:jc w:val="center"/>
              <w:rPr>
                <w:rFonts w:hint="default" w:ascii="Times New Roman" w:hAnsi="Times New Roman" w:eastAsia="仿宋_GB2312" w:cs="Times New Roman"/>
                <w:color w:val="auto"/>
                <w:sz w:val="20"/>
                <w:szCs w:val="28"/>
              </w:rPr>
            </w:pPr>
            <w:r>
              <w:rPr>
                <w:rFonts w:hint="default" w:ascii="Times New Roman" w:hAnsi="Times New Roman" w:eastAsia="仿宋_GB2312" w:cs="Times New Roman"/>
                <w:color w:val="auto"/>
                <w:sz w:val="20"/>
                <w:szCs w:val="28"/>
              </w:rPr>
              <w:t>100%</w:t>
            </w:r>
          </w:p>
        </w:tc>
        <w:tc>
          <w:tcPr>
            <w:tcW w:w="675" w:type="dxa"/>
          </w:tcPr>
          <w:p>
            <w:pPr>
              <w:spacing w:line="24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0"/>
                <w:szCs w:val="28"/>
              </w:rPr>
              <w:t>100%</w:t>
            </w:r>
          </w:p>
        </w:tc>
        <w:tc>
          <w:tcPr>
            <w:tcW w:w="637" w:type="dxa"/>
          </w:tcPr>
          <w:p>
            <w:pPr>
              <w:spacing w:line="0" w:lineRule="atLeast"/>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12.5</w:t>
            </w:r>
          </w:p>
        </w:tc>
        <w:tc>
          <w:tcPr>
            <w:tcW w:w="638" w:type="dxa"/>
          </w:tcPr>
          <w:p>
            <w:pPr>
              <w:spacing w:line="0" w:lineRule="atLeast"/>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12.5</w:t>
            </w:r>
          </w:p>
        </w:tc>
        <w:tc>
          <w:tcPr>
            <w:tcW w:w="1716" w:type="dxa"/>
            <w:vAlign w:val="bottom"/>
          </w:tcPr>
          <w:p>
            <w:pPr>
              <w:spacing w:line="223" w:lineRule="exact"/>
              <w:jc w:val="center"/>
              <w:rPr>
                <w:rFonts w:hint="default" w:ascii="Times New Roman" w:hAnsi="Times New Roman"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956" w:type="dxa"/>
            <w:vMerge w:val="continue"/>
            <w:vAlign w:val="center"/>
          </w:tcPr>
          <w:p>
            <w:pPr>
              <w:spacing w:line="0" w:lineRule="atLeast"/>
              <w:jc w:val="center"/>
              <w:rPr>
                <w:rFonts w:hint="default" w:ascii="Times New Roman" w:hAnsi="Times New Roman" w:eastAsia="仿宋_GB2312" w:cs="Times New Roman"/>
                <w:color w:val="auto"/>
                <w:sz w:val="22"/>
                <w:szCs w:val="22"/>
              </w:rPr>
            </w:pPr>
          </w:p>
        </w:tc>
        <w:tc>
          <w:tcPr>
            <w:tcW w:w="1250" w:type="dxa"/>
            <w:vMerge w:val="continue"/>
            <w:vAlign w:val="center"/>
          </w:tcPr>
          <w:p>
            <w:pPr>
              <w:spacing w:line="0" w:lineRule="atLeast"/>
              <w:jc w:val="center"/>
              <w:rPr>
                <w:rFonts w:hint="default" w:ascii="Times New Roman" w:hAnsi="Times New Roman" w:eastAsia="仿宋_GB2312" w:cs="Times New Roman"/>
                <w:color w:val="auto"/>
                <w:sz w:val="24"/>
                <w:szCs w:val="24"/>
              </w:rPr>
            </w:pPr>
          </w:p>
        </w:tc>
        <w:tc>
          <w:tcPr>
            <w:tcW w:w="1113" w:type="dxa"/>
            <w:vMerge w:val="continue"/>
          </w:tcPr>
          <w:p>
            <w:pPr>
              <w:spacing w:line="0" w:lineRule="atLeast"/>
              <w:rPr>
                <w:rFonts w:hint="default" w:ascii="Times New Roman" w:hAnsi="Times New Roman" w:eastAsia="仿宋_GB2312" w:cs="Times New Roman"/>
                <w:color w:val="auto"/>
                <w:sz w:val="24"/>
                <w:szCs w:val="24"/>
              </w:rPr>
            </w:pPr>
          </w:p>
        </w:tc>
        <w:tc>
          <w:tcPr>
            <w:tcW w:w="2125" w:type="dxa"/>
          </w:tcPr>
          <w:p>
            <w:pPr>
              <w:spacing w:line="0" w:lineRule="atLeast"/>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指标 2：</w:t>
            </w:r>
          </w:p>
        </w:tc>
        <w:tc>
          <w:tcPr>
            <w:tcW w:w="675" w:type="dxa"/>
          </w:tcPr>
          <w:p>
            <w:pPr>
              <w:spacing w:line="0" w:lineRule="atLeast"/>
              <w:jc w:val="center"/>
              <w:rPr>
                <w:rFonts w:hint="default" w:ascii="Times New Roman" w:hAnsi="Times New Roman" w:eastAsia="仿宋_GB2312" w:cs="Times New Roman"/>
                <w:color w:val="auto"/>
                <w:sz w:val="24"/>
                <w:szCs w:val="24"/>
              </w:rPr>
            </w:pPr>
          </w:p>
        </w:tc>
        <w:tc>
          <w:tcPr>
            <w:tcW w:w="675" w:type="dxa"/>
          </w:tcPr>
          <w:p>
            <w:pPr>
              <w:spacing w:line="0" w:lineRule="atLeast"/>
              <w:jc w:val="center"/>
              <w:rPr>
                <w:rFonts w:hint="default" w:ascii="Times New Roman" w:hAnsi="Times New Roman" w:eastAsia="仿宋_GB2312" w:cs="Times New Roman"/>
                <w:color w:val="auto"/>
                <w:sz w:val="24"/>
                <w:szCs w:val="24"/>
              </w:rPr>
            </w:pPr>
          </w:p>
        </w:tc>
        <w:tc>
          <w:tcPr>
            <w:tcW w:w="637" w:type="dxa"/>
          </w:tcPr>
          <w:p>
            <w:pPr>
              <w:spacing w:line="0" w:lineRule="atLeast"/>
              <w:jc w:val="center"/>
              <w:rPr>
                <w:rFonts w:hint="default" w:ascii="Times New Roman" w:hAnsi="Times New Roman" w:eastAsia="仿宋_GB2312" w:cs="Times New Roman"/>
                <w:color w:val="auto"/>
                <w:sz w:val="21"/>
                <w:szCs w:val="21"/>
              </w:rPr>
            </w:pPr>
          </w:p>
        </w:tc>
        <w:tc>
          <w:tcPr>
            <w:tcW w:w="638" w:type="dxa"/>
          </w:tcPr>
          <w:p>
            <w:pPr>
              <w:spacing w:line="0" w:lineRule="atLeast"/>
              <w:jc w:val="center"/>
              <w:rPr>
                <w:rFonts w:hint="default" w:ascii="Times New Roman" w:hAnsi="Times New Roman" w:eastAsia="仿宋_GB2312" w:cs="Times New Roman"/>
                <w:color w:val="auto"/>
                <w:sz w:val="21"/>
                <w:szCs w:val="21"/>
              </w:rPr>
            </w:pPr>
          </w:p>
        </w:tc>
        <w:tc>
          <w:tcPr>
            <w:tcW w:w="1716" w:type="dxa"/>
            <w:vAlign w:val="bottom"/>
          </w:tcPr>
          <w:p>
            <w:pPr>
              <w:spacing w:line="240" w:lineRule="exact"/>
              <w:jc w:val="center"/>
              <w:rPr>
                <w:rFonts w:hint="default" w:ascii="Times New Roman" w:hAnsi="Times New Roman"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956" w:type="dxa"/>
            <w:vMerge w:val="continue"/>
            <w:vAlign w:val="center"/>
          </w:tcPr>
          <w:p>
            <w:pPr>
              <w:spacing w:line="0" w:lineRule="atLeast"/>
              <w:jc w:val="center"/>
              <w:rPr>
                <w:rFonts w:hint="default" w:ascii="Times New Roman" w:hAnsi="Times New Roman" w:eastAsia="仿宋_GB2312" w:cs="Times New Roman"/>
                <w:color w:val="auto"/>
                <w:sz w:val="22"/>
                <w:szCs w:val="22"/>
              </w:rPr>
            </w:pPr>
          </w:p>
        </w:tc>
        <w:tc>
          <w:tcPr>
            <w:tcW w:w="1250" w:type="dxa"/>
            <w:vMerge w:val="continue"/>
            <w:vAlign w:val="center"/>
          </w:tcPr>
          <w:p>
            <w:pPr>
              <w:spacing w:line="0" w:lineRule="atLeast"/>
              <w:jc w:val="center"/>
              <w:rPr>
                <w:rFonts w:hint="default" w:ascii="Times New Roman" w:hAnsi="Times New Roman" w:eastAsia="仿宋_GB2312" w:cs="Times New Roman"/>
                <w:color w:val="auto"/>
                <w:sz w:val="24"/>
                <w:szCs w:val="24"/>
              </w:rPr>
            </w:pPr>
          </w:p>
        </w:tc>
        <w:tc>
          <w:tcPr>
            <w:tcW w:w="1113" w:type="dxa"/>
            <w:vMerge w:val="restart"/>
          </w:tcPr>
          <w:p>
            <w:pPr>
              <w:spacing w:line="0" w:lineRule="atLeas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w w:val="99"/>
                <w:sz w:val="24"/>
                <w:szCs w:val="24"/>
              </w:rPr>
              <w:t>质量指标</w:t>
            </w:r>
          </w:p>
        </w:tc>
        <w:tc>
          <w:tcPr>
            <w:tcW w:w="2125" w:type="dxa"/>
          </w:tcPr>
          <w:p>
            <w:pPr>
              <w:spacing w:line="0" w:lineRule="atLeast"/>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指标 1：保证全年零停播</w:t>
            </w:r>
          </w:p>
        </w:tc>
        <w:tc>
          <w:tcPr>
            <w:tcW w:w="675" w:type="dxa"/>
          </w:tcPr>
          <w:p>
            <w:pPr>
              <w:spacing w:line="0" w:lineRule="atLeas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0"/>
                <w:szCs w:val="28"/>
              </w:rPr>
              <w:t>100%</w:t>
            </w:r>
          </w:p>
        </w:tc>
        <w:tc>
          <w:tcPr>
            <w:tcW w:w="675" w:type="dxa"/>
          </w:tcPr>
          <w:p>
            <w:pPr>
              <w:spacing w:line="0" w:lineRule="atLeas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0"/>
                <w:szCs w:val="28"/>
              </w:rPr>
              <w:t>100%</w:t>
            </w:r>
          </w:p>
        </w:tc>
        <w:tc>
          <w:tcPr>
            <w:tcW w:w="637" w:type="dxa"/>
          </w:tcPr>
          <w:p>
            <w:pPr>
              <w:spacing w:line="0" w:lineRule="atLeast"/>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12.5</w:t>
            </w:r>
          </w:p>
        </w:tc>
        <w:tc>
          <w:tcPr>
            <w:tcW w:w="638" w:type="dxa"/>
          </w:tcPr>
          <w:p>
            <w:pPr>
              <w:spacing w:line="0" w:lineRule="atLeast"/>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12.5</w:t>
            </w:r>
          </w:p>
        </w:tc>
        <w:tc>
          <w:tcPr>
            <w:tcW w:w="1716" w:type="dxa"/>
          </w:tcPr>
          <w:p>
            <w:pPr>
              <w:spacing w:line="0" w:lineRule="atLeast"/>
              <w:rPr>
                <w:rFonts w:hint="default" w:ascii="Times New Roman" w:hAnsi="Times New Roman"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trPr>
        <w:tc>
          <w:tcPr>
            <w:tcW w:w="956" w:type="dxa"/>
            <w:vMerge w:val="continue"/>
            <w:vAlign w:val="center"/>
          </w:tcPr>
          <w:p>
            <w:pPr>
              <w:spacing w:line="0" w:lineRule="atLeast"/>
              <w:jc w:val="center"/>
              <w:rPr>
                <w:rFonts w:hint="default" w:ascii="Times New Roman" w:hAnsi="Times New Roman" w:eastAsia="仿宋_GB2312" w:cs="Times New Roman"/>
                <w:color w:val="auto"/>
                <w:sz w:val="22"/>
                <w:szCs w:val="22"/>
              </w:rPr>
            </w:pPr>
          </w:p>
        </w:tc>
        <w:tc>
          <w:tcPr>
            <w:tcW w:w="1250" w:type="dxa"/>
            <w:vMerge w:val="continue"/>
            <w:vAlign w:val="center"/>
          </w:tcPr>
          <w:p>
            <w:pPr>
              <w:spacing w:line="0" w:lineRule="atLeast"/>
              <w:jc w:val="center"/>
              <w:rPr>
                <w:rFonts w:hint="default" w:ascii="Times New Roman" w:hAnsi="Times New Roman" w:eastAsia="仿宋_GB2312" w:cs="Times New Roman"/>
                <w:color w:val="auto"/>
                <w:sz w:val="24"/>
                <w:szCs w:val="24"/>
              </w:rPr>
            </w:pPr>
          </w:p>
        </w:tc>
        <w:tc>
          <w:tcPr>
            <w:tcW w:w="1113" w:type="dxa"/>
            <w:vMerge w:val="continue"/>
          </w:tcPr>
          <w:p>
            <w:pPr>
              <w:spacing w:line="0" w:lineRule="atLeast"/>
              <w:rPr>
                <w:rFonts w:hint="default" w:ascii="Times New Roman" w:hAnsi="Times New Roman" w:eastAsia="仿宋_GB2312" w:cs="Times New Roman"/>
                <w:color w:val="auto"/>
                <w:sz w:val="24"/>
                <w:szCs w:val="24"/>
              </w:rPr>
            </w:pPr>
          </w:p>
        </w:tc>
        <w:tc>
          <w:tcPr>
            <w:tcW w:w="2125" w:type="dxa"/>
          </w:tcPr>
          <w:p>
            <w:pPr>
              <w:spacing w:line="0" w:lineRule="atLeast"/>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指标 2：</w:t>
            </w:r>
          </w:p>
        </w:tc>
        <w:tc>
          <w:tcPr>
            <w:tcW w:w="675" w:type="dxa"/>
          </w:tcPr>
          <w:p>
            <w:pPr>
              <w:spacing w:line="0" w:lineRule="atLeast"/>
              <w:jc w:val="center"/>
              <w:rPr>
                <w:rFonts w:hint="default" w:ascii="Times New Roman" w:hAnsi="Times New Roman" w:eastAsia="仿宋_GB2312" w:cs="Times New Roman"/>
                <w:color w:val="auto"/>
                <w:sz w:val="24"/>
                <w:szCs w:val="24"/>
              </w:rPr>
            </w:pPr>
          </w:p>
        </w:tc>
        <w:tc>
          <w:tcPr>
            <w:tcW w:w="675" w:type="dxa"/>
          </w:tcPr>
          <w:p>
            <w:pPr>
              <w:spacing w:line="0" w:lineRule="atLeast"/>
              <w:jc w:val="center"/>
              <w:rPr>
                <w:rFonts w:hint="default" w:ascii="Times New Roman" w:hAnsi="Times New Roman" w:eastAsia="仿宋_GB2312" w:cs="Times New Roman"/>
                <w:color w:val="auto"/>
                <w:sz w:val="24"/>
                <w:szCs w:val="24"/>
              </w:rPr>
            </w:pPr>
          </w:p>
        </w:tc>
        <w:tc>
          <w:tcPr>
            <w:tcW w:w="637" w:type="dxa"/>
          </w:tcPr>
          <w:p>
            <w:pPr>
              <w:spacing w:line="0" w:lineRule="atLeast"/>
              <w:jc w:val="center"/>
              <w:rPr>
                <w:rFonts w:hint="default" w:ascii="Times New Roman" w:hAnsi="Times New Roman" w:eastAsia="仿宋_GB2312" w:cs="Times New Roman"/>
                <w:color w:val="auto"/>
                <w:sz w:val="21"/>
                <w:szCs w:val="21"/>
              </w:rPr>
            </w:pPr>
          </w:p>
        </w:tc>
        <w:tc>
          <w:tcPr>
            <w:tcW w:w="638" w:type="dxa"/>
          </w:tcPr>
          <w:p>
            <w:pPr>
              <w:spacing w:line="0" w:lineRule="atLeast"/>
              <w:jc w:val="center"/>
              <w:rPr>
                <w:rFonts w:hint="default" w:ascii="Times New Roman" w:hAnsi="Times New Roman" w:eastAsia="仿宋_GB2312" w:cs="Times New Roman"/>
                <w:color w:val="auto"/>
                <w:sz w:val="21"/>
                <w:szCs w:val="21"/>
              </w:rPr>
            </w:pPr>
          </w:p>
        </w:tc>
        <w:tc>
          <w:tcPr>
            <w:tcW w:w="1716" w:type="dxa"/>
          </w:tcPr>
          <w:p>
            <w:pPr>
              <w:spacing w:line="0" w:lineRule="atLeast"/>
              <w:rPr>
                <w:rFonts w:hint="default" w:ascii="Times New Roman" w:hAnsi="Times New Roman"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vMerge w:val="continue"/>
            <w:vAlign w:val="center"/>
          </w:tcPr>
          <w:p>
            <w:pPr>
              <w:spacing w:line="0" w:lineRule="atLeast"/>
              <w:jc w:val="center"/>
              <w:rPr>
                <w:rFonts w:hint="default" w:ascii="Times New Roman" w:hAnsi="Times New Roman" w:eastAsia="仿宋_GB2312" w:cs="Times New Roman"/>
                <w:color w:val="auto"/>
                <w:sz w:val="22"/>
                <w:szCs w:val="22"/>
              </w:rPr>
            </w:pPr>
          </w:p>
        </w:tc>
        <w:tc>
          <w:tcPr>
            <w:tcW w:w="1250" w:type="dxa"/>
            <w:vMerge w:val="continue"/>
            <w:vAlign w:val="center"/>
          </w:tcPr>
          <w:p>
            <w:pPr>
              <w:spacing w:line="0" w:lineRule="atLeast"/>
              <w:jc w:val="center"/>
              <w:rPr>
                <w:rFonts w:hint="default" w:ascii="Times New Roman" w:hAnsi="Times New Roman" w:eastAsia="仿宋_GB2312" w:cs="Times New Roman"/>
                <w:color w:val="auto"/>
                <w:sz w:val="24"/>
                <w:szCs w:val="24"/>
              </w:rPr>
            </w:pPr>
          </w:p>
        </w:tc>
        <w:tc>
          <w:tcPr>
            <w:tcW w:w="1113" w:type="dxa"/>
            <w:vMerge w:val="restart"/>
          </w:tcPr>
          <w:p>
            <w:pPr>
              <w:spacing w:line="0" w:lineRule="atLeas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w w:val="99"/>
                <w:sz w:val="24"/>
                <w:szCs w:val="24"/>
              </w:rPr>
              <w:t>时效指标</w:t>
            </w:r>
          </w:p>
        </w:tc>
        <w:tc>
          <w:tcPr>
            <w:tcW w:w="2125" w:type="dxa"/>
            <w:vAlign w:val="bottom"/>
          </w:tcPr>
          <w:p>
            <w:pPr>
              <w:spacing w:line="199" w:lineRule="exact"/>
              <w:ind w:left="40"/>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指标 1：满时间度</w:t>
            </w:r>
          </w:p>
        </w:tc>
        <w:tc>
          <w:tcPr>
            <w:tcW w:w="675" w:type="dxa"/>
          </w:tcPr>
          <w:p>
            <w:pPr>
              <w:spacing w:line="0" w:lineRule="atLeast"/>
              <w:jc w:val="center"/>
              <w:rPr>
                <w:rFonts w:hint="default" w:ascii="Times New Roman" w:hAnsi="Times New Roman" w:eastAsia="仿宋_GB2312" w:cs="Times New Roman"/>
                <w:color w:val="auto"/>
                <w:sz w:val="20"/>
                <w:szCs w:val="28"/>
              </w:rPr>
            </w:pPr>
            <w:r>
              <w:rPr>
                <w:rFonts w:hint="default" w:ascii="Times New Roman" w:hAnsi="Times New Roman" w:eastAsia="仿宋_GB2312" w:cs="Times New Roman"/>
                <w:color w:val="auto"/>
                <w:sz w:val="20"/>
                <w:szCs w:val="28"/>
              </w:rPr>
              <w:t>100%</w:t>
            </w:r>
          </w:p>
        </w:tc>
        <w:tc>
          <w:tcPr>
            <w:tcW w:w="675" w:type="dxa"/>
          </w:tcPr>
          <w:p>
            <w:pPr>
              <w:spacing w:line="0" w:lineRule="atLeas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0"/>
                <w:szCs w:val="28"/>
              </w:rPr>
              <w:t>100%</w:t>
            </w:r>
          </w:p>
        </w:tc>
        <w:tc>
          <w:tcPr>
            <w:tcW w:w="637" w:type="dxa"/>
          </w:tcPr>
          <w:p>
            <w:pPr>
              <w:spacing w:line="0" w:lineRule="atLeast"/>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12.5</w:t>
            </w:r>
          </w:p>
        </w:tc>
        <w:tc>
          <w:tcPr>
            <w:tcW w:w="638" w:type="dxa"/>
          </w:tcPr>
          <w:p>
            <w:pPr>
              <w:spacing w:line="0" w:lineRule="atLeast"/>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12.5</w:t>
            </w:r>
          </w:p>
        </w:tc>
        <w:tc>
          <w:tcPr>
            <w:tcW w:w="1716" w:type="dxa"/>
          </w:tcPr>
          <w:p>
            <w:pPr>
              <w:spacing w:line="0" w:lineRule="atLeast"/>
              <w:rPr>
                <w:rFonts w:hint="default" w:ascii="Times New Roman" w:hAnsi="Times New Roman"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956" w:type="dxa"/>
            <w:vMerge w:val="continue"/>
            <w:vAlign w:val="center"/>
          </w:tcPr>
          <w:p>
            <w:pPr>
              <w:spacing w:line="0" w:lineRule="atLeast"/>
              <w:jc w:val="center"/>
              <w:rPr>
                <w:rFonts w:hint="default" w:ascii="Times New Roman" w:hAnsi="Times New Roman" w:eastAsia="仿宋_GB2312" w:cs="Times New Roman"/>
                <w:color w:val="auto"/>
                <w:sz w:val="22"/>
                <w:szCs w:val="22"/>
              </w:rPr>
            </w:pPr>
          </w:p>
        </w:tc>
        <w:tc>
          <w:tcPr>
            <w:tcW w:w="1250" w:type="dxa"/>
            <w:vMerge w:val="continue"/>
            <w:vAlign w:val="center"/>
          </w:tcPr>
          <w:p>
            <w:pPr>
              <w:spacing w:line="0" w:lineRule="atLeast"/>
              <w:jc w:val="center"/>
              <w:rPr>
                <w:rFonts w:hint="default" w:ascii="Times New Roman" w:hAnsi="Times New Roman" w:eastAsia="仿宋_GB2312" w:cs="Times New Roman"/>
                <w:color w:val="auto"/>
                <w:sz w:val="24"/>
                <w:szCs w:val="24"/>
              </w:rPr>
            </w:pPr>
          </w:p>
        </w:tc>
        <w:tc>
          <w:tcPr>
            <w:tcW w:w="1113" w:type="dxa"/>
            <w:vMerge w:val="continue"/>
          </w:tcPr>
          <w:p>
            <w:pPr>
              <w:spacing w:line="0" w:lineRule="atLeast"/>
              <w:rPr>
                <w:rFonts w:hint="default" w:ascii="Times New Roman" w:hAnsi="Times New Roman" w:eastAsia="仿宋_GB2312" w:cs="Times New Roman"/>
                <w:color w:val="auto"/>
                <w:sz w:val="24"/>
                <w:szCs w:val="24"/>
              </w:rPr>
            </w:pPr>
          </w:p>
        </w:tc>
        <w:tc>
          <w:tcPr>
            <w:tcW w:w="2125" w:type="dxa"/>
          </w:tcPr>
          <w:p>
            <w:pPr>
              <w:spacing w:line="0" w:lineRule="atLeast"/>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指标 2：</w:t>
            </w:r>
          </w:p>
        </w:tc>
        <w:tc>
          <w:tcPr>
            <w:tcW w:w="675" w:type="dxa"/>
          </w:tcPr>
          <w:p>
            <w:pPr>
              <w:spacing w:line="0" w:lineRule="atLeast"/>
              <w:jc w:val="center"/>
              <w:rPr>
                <w:rFonts w:hint="default" w:ascii="Times New Roman" w:hAnsi="Times New Roman" w:eastAsia="仿宋_GB2312" w:cs="Times New Roman"/>
                <w:color w:val="auto"/>
                <w:sz w:val="24"/>
                <w:szCs w:val="24"/>
              </w:rPr>
            </w:pPr>
          </w:p>
        </w:tc>
        <w:tc>
          <w:tcPr>
            <w:tcW w:w="675" w:type="dxa"/>
          </w:tcPr>
          <w:p>
            <w:pPr>
              <w:spacing w:line="0" w:lineRule="atLeast"/>
              <w:jc w:val="center"/>
              <w:rPr>
                <w:rFonts w:hint="default" w:ascii="Times New Roman" w:hAnsi="Times New Roman" w:eastAsia="仿宋_GB2312" w:cs="Times New Roman"/>
                <w:color w:val="auto"/>
                <w:sz w:val="24"/>
                <w:szCs w:val="24"/>
              </w:rPr>
            </w:pPr>
          </w:p>
        </w:tc>
        <w:tc>
          <w:tcPr>
            <w:tcW w:w="637" w:type="dxa"/>
          </w:tcPr>
          <w:p>
            <w:pPr>
              <w:spacing w:line="0" w:lineRule="atLeast"/>
              <w:jc w:val="center"/>
              <w:rPr>
                <w:rFonts w:hint="default" w:ascii="Times New Roman" w:hAnsi="Times New Roman" w:eastAsia="仿宋_GB2312" w:cs="Times New Roman"/>
                <w:color w:val="auto"/>
                <w:sz w:val="21"/>
                <w:szCs w:val="21"/>
              </w:rPr>
            </w:pPr>
          </w:p>
        </w:tc>
        <w:tc>
          <w:tcPr>
            <w:tcW w:w="638" w:type="dxa"/>
          </w:tcPr>
          <w:p>
            <w:pPr>
              <w:spacing w:line="0" w:lineRule="atLeast"/>
              <w:jc w:val="center"/>
              <w:rPr>
                <w:rFonts w:hint="default" w:ascii="Times New Roman" w:hAnsi="Times New Roman" w:eastAsia="仿宋_GB2312" w:cs="Times New Roman"/>
                <w:color w:val="auto"/>
                <w:sz w:val="21"/>
                <w:szCs w:val="21"/>
              </w:rPr>
            </w:pPr>
          </w:p>
        </w:tc>
        <w:tc>
          <w:tcPr>
            <w:tcW w:w="1716" w:type="dxa"/>
          </w:tcPr>
          <w:p>
            <w:pPr>
              <w:spacing w:line="0" w:lineRule="atLeast"/>
              <w:rPr>
                <w:rFonts w:hint="default" w:ascii="Times New Roman" w:hAnsi="Times New Roman"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vMerge w:val="continue"/>
            <w:vAlign w:val="center"/>
          </w:tcPr>
          <w:p>
            <w:pPr>
              <w:spacing w:line="0" w:lineRule="atLeast"/>
              <w:jc w:val="center"/>
              <w:rPr>
                <w:rFonts w:hint="default" w:ascii="Times New Roman" w:hAnsi="Times New Roman" w:eastAsia="仿宋_GB2312" w:cs="Times New Roman"/>
                <w:color w:val="auto"/>
                <w:sz w:val="22"/>
                <w:szCs w:val="22"/>
              </w:rPr>
            </w:pPr>
          </w:p>
        </w:tc>
        <w:tc>
          <w:tcPr>
            <w:tcW w:w="1250" w:type="dxa"/>
            <w:vMerge w:val="continue"/>
            <w:vAlign w:val="center"/>
          </w:tcPr>
          <w:p>
            <w:pPr>
              <w:spacing w:line="0" w:lineRule="atLeast"/>
              <w:jc w:val="center"/>
              <w:rPr>
                <w:rFonts w:hint="default" w:ascii="Times New Roman" w:hAnsi="Times New Roman" w:eastAsia="仿宋_GB2312" w:cs="Times New Roman"/>
                <w:color w:val="auto"/>
                <w:sz w:val="24"/>
                <w:szCs w:val="24"/>
              </w:rPr>
            </w:pPr>
          </w:p>
        </w:tc>
        <w:tc>
          <w:tcPr>
            <w:tcW w:w="1113" w:type="dxa"/>
            <w:vMerge w:val="restart"/>
          </w:tcPr>
          <w:p>
            <w:pPr>
              <w:spacing w:line="0" w:lineRule="atLeas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w w:val="99"/>
                <w:sz w:val="24"/>
                <w:szCs w:val="24"/>
              </w:rPr>
              <w:t>成本指标</w:t>
            </w:r>
          </w:p>
        </w:tc>
        <w:tc>
          <w:tcPr>
            <w:tcW w:w="2125" w:type="dxa"/>
            <w:vAlign w:val="bottom"/>
          </w:tcPr>
          <w:p>
            <w:pPr>
              <w:spacing w:line="200" w:lineRule="exact"/>
              <w:ind w:left="40"/>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指标 1：维护费、电费支出率</w:t>
            </w:r>
          </w:p>
        </w:tc>
        <w:tc>
          <w:tcPr>
            <w:tcW w:w="675" w:type="dxa"/>
          </w:tcPr>
          <w:p>
            <w:pPr>
              <w:spacing w:line="0" w:lineRule="atLeast"/>
              <w:jc w:val="center"/>
              <w:rPr>
                <w:rFonts w:hint="default" w:ascii="Times New Roman" w:hAnsi="Times New Roman" w:eastAsia="仿宋_GB2312" w:cs="Times New Roman"/>
                <w:color w:val="auto"/>
                <w:sz w:val="20"/>
                <w:szCs w:val="28"/>
              </w:rPr>
            </w:pPr>
            <w:r>
              <w:rPr>
                <w:rFonts w:hint="default" w:ascii="Times New Roman" w:hAnsi="Times New Roman" w:eastAsia="仿宋_GB2312" w:cs="Times New Roman"/>
                <w:color w:val="auto"/>
                <w:sz w:val="20"/>
                <w:szCs w:val="28"/>
              </w:rPr>
              <w:t>100%</w:t>
            </w:r>
          </w:p>
        </w:tc>
        <w:tc>
          <w:tcPr>
            <w:tcW w:w="675" w:type="dxa"/>
          </w:tcPr>
          <w:p>
            <w:pPr>
              <w:spacing w:line="0" w:lineRule="atLeas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0"/>
                <w:szCs w:val="28"/>
              </w:rPr>
              <w:t>100%</w:t>
            </w:r>
          </w:p>
        </w:tc>
        <w:tc>
          <w:tcPr>
            <w:tcW w:w="637" w:type="dxa"/>
          </w:tcPr>
          <w:p>
            <w:pPr>
              <w:spacing w:line="0" w:lineRule="atLeast"/>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12.5</w:t>
            </w:r>
          </w:p>
        </w:tc>
        <w:tc>
          <w:tcPr>
            <w:tcW w:w="638" w:type="dxa"/>
          </w:tcPr>
          <w:p>
            <w:pPr>
              <w:spacing w:line="0" w:lineRule="atLeast"/>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12.5</w:t>
            </w:r>
          </w:p>
        </w:tc>
        <w:tc>
          <w:tcPr>
            <w:tcW w:w="1716" w:type="dxa"/>
          </w:tcPr>
          <w:p>
            <w:pPr>
              <w:spacing w:line="0" w:lineRule="atLeast"/>
              <w:rPr>
                <w:rFonts w:hint="default" w:ascii="Times New Roman" w:hAnsi="Times New Roman"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vMerge w:val="continue"/>
            <w:vAlign w:val="center"/>
          </w:tcPr>
          <w:p>
            <w:pPr>
              <w:spacing w:line="0" w:lineRule="atLeast"/>
              <w:jc w:val="center"/>
              <w:rPr>
                <w:rFonts w:hint="default" w:ascii="Times New Roman" w:hAnsi="Times New Roman" w:eastAsia="仿宋_GB2312" w:cs="Times New Roman"/>
                <w:color w:val="auto"/>
                <w:sz w:val="22"/>
                <w:szCs w:val="22"/>
              </w:rPr>
            </w:pPr>
          </w:p>
        </w:tc>
        <w:tc>
          <w:tcPr>
            <w:tcW w:w="1250" w:type="dxa"/>
            <w:vMerge w:val="continue"/>
            <w:vAlign w:val="center"/>
          </w:tcPr>
          <w:p>
            <w:pPr>
              <w:spacing w:line="0" w:lineRule="atLeast"/>
              <w:jc w:val="center"/>
              <w:rPr>
                <w:rFonts w:hint="default" w:ascii="Times New Roman" w:hAnsi="Times New Roman" w:eastAsia="仿宋_GB2312" w:cs="Times New Roman"/>
                <w:color w:val="auto"/>
                <w:sz w:val="24"/>
                <w:szCs w:val="24"/>
              </w:rPr>
            </w:pPr>
          </w:p>
        </w:tc>
        <w:tc>
          <w:tcPr>
            <w:tcW w:w="1113" w:type="dxa"/>
            <w:vMerge w:val="continue"/>
          </w:tcPr>
          <w:p>
            <w:pPr>
              <w:spacing w:line="0" w:lineRule="atLeast"/>
              <w:rPr>
                <w:rFonts w:hint="default" w:ascii="Times New Roman" w:hAnsi="Times New Roman" w:eastAsia="仿宋_GB2312" w:cs="Times New Roman"/>
                <w:color w:val="auto"/>
                <w:sz w:val="24"/>
                <w:szCs w:val="24"/>
              </w:rPr>
            </w:pPr>
          </w:p>
        </w:tc>
        <w:tc>
          <w:tcPr>
            <w:tcW w:w="2125" w:type="dxa"/>
          </w:tcPr>
          <w:p>
            <w:pPr>
              <w:spacing w:line="0" w:lineRule="atLeast"/>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指标 2：</w:t>
            </w:r>
          </w:p>
        </w:tc>
        <w:tc>
          <w:tcPr>
            <w:tcW w:w="675" w:type="dxa"/>
          </w:tcPr>
          <w:p>
            <w:pPr>
              <w:spacing w:line="0" w:lineRule="atLeast"/>
              <w:jc w:val="center"/>
              <w:rPr>
                <w:rFonts w:hint="default" w:ascii="Times New Roman" w:hAnsi="Times New Roman" w:eastAsia="仿宋_GB2312" w:cs="Times New Roman"/>
                <w:color w:val="auto"/>
                <w:sz w:val="24"/>
                <w:szCs w:val="24"/>
              </w:rPr>
            </w:pPr>
          </w:p>
        </w:tc>
        <w:tc>
          <w:tcPr>
            <w:tcW w:w="675" w:type="dxa"/>
          </w:tcPr>
          <w:p>
            <w:pPr>
              <w:spacing w:line="0" w:lineRule="atLeast"/>
              <w:jc w:val="center"/>
              <w:rPr>
                <w:rFonts w:hint="default" w:ascii="Times New Roman" w:hAnsi="Times New Roman" w:eastAsia="仿宋_GB2312" w:cs="Times New Roman"/>
                <w:color w:val="auto"/>
                <w:sz w:val="24"/>
                <w:szCs w:val="24"/>
              </w:rPr>
            </w:pPr>
          </w:p>
        </w:tc>
        <w:tc>
          <w:tcPr>
            <w:tcW w:w="637" w:type="dxa"/>
          </w:tcPr>
          <w:p>
            <w:pPr>
              <w:spacing w:line="0" w:lineRule="atLeast"/>
              <w:jc w:val="center"/>
              <w:rPr>
                <w:rFonts w:hint="default" w:ascii="Times New Roman" w:hAnsi="Times New Roman" w:eastAsia="仿宋_GB2312" w:cs="Times New Roman"/>
                <w:color w:val="auto"/>
                <w:sz w:val="21"/>
                <w:szCs w:val="21"/>
              </w:rPr>
            </w:pPr>
          </w:p>
        </w:tc>
        <w:tc>
          <w:tcPr>
            <w:tcW w:w="638" w:type="dxa"/>
          </w:tcPr>
          <w:p>
            <w:pPr>
              <w:spacing w:line="0" w:lineRule="atLeast"/>
              <w:jc w:val="center"/>
              <w:rPr>
                <w:rFonts w:hint="default" w:ascii="Times New Roman" w:hAnsi="Times New Roman" w:eastAsia="仿宋_GB2312" w:cs="Times New Roman"/>
                <w:color w:val="auto"/>
                <w:sz w:val="21"/>
                <w:szCs w:val="21"/>
              </w:rPr>
            </w:pPr>
          </w:p>
        </w:tc>
        <w:tc>
          <w:tcPr>
            <w:tcW w:w="1716" w:type="dxa"/>
          </w:tcPr>
          <w:p>
            <w:pPr>
              <w:spacing w:line="0" w:lineRule="atLeast"/>
              <w:rPr>
                <w:rFonts w:hint="default" w:ascii="Times New Roman" w:hAnsi="Times New Roman"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vMerge w:val="continue"/>
            <w:vAlign w:val="center"/>
          </w:tcPr>
          <w:p>
            <w:pPr>
              <w:spacing w:line="0" w:lineRule="atLeast"/>
              <w:jc w:val="center"/>
              <w:rPr>
                <w:rFonts w:hint="default" w:ascii="Times New Roman" w:hAnsi="Times New Roman" w:eastAsia="仿宋_GB2312" w:cs="Times New Roman"/>
                <w:color w:val="auto"/>
                <w:sz w:val="22"/>
                <w:szCs w:val="22"/>
              </w:rPr>
            </w:pPr>
          </w:p>
        </w:tc>
        <w:tc>
          <w:tcPr>
            <w:tcW w:w="1250" w:type="dxa"/>
            <w:vMerge w:val="restart"/>
            <w:vAlign w:val="center"/>
          </w:tcPr>
          <w:p>
            <w:pPr>
              <w:spacing w:line="210" w:lineRule="exact"/>
              <w:ind w:left="100"/>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效益指标</w:t>
            </w:r>
            <w:r>
              <w:rPr>
                <w:rFonts w:hint="default" w:ascii="Times New Roman" w:hAnsi="Times New Roman" w:eastAsia="仿宋_GB2312" w:cs="Times New Roman"/>
                <w:color w:val="auto"/>
                <w:w w:val="99"/>
                <w:sz w:val="24"/>
                <w:szCs w:val="24"/>
              </w:rPr>
              <w:t>（30 分）</w:t>
            </w:r>
          </w:p>
        </w:tc>
        <w:tc>
          <w:tcPr>
            <w:tcW w:w="1113" w:type="dxa"/>
            <w:vMerge w:val="restart"/>
            <w:vAlign w:val="bottom"/>
          </w:tcPr>
          <w:p>
            <w:pPr>
              <w:spacing w:line="24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w w:val="98"/>
                <w:sz w:val="24"/>
                <w:szCs w:val="24"/>
              </w:rPr>
              <w:t>经济效益指标</w:t>
            </w:r>
          </w:p>
        </w:tc>
        <w:tc>
          <w:tcPr>
            <w:tcW w:w="2125" w:type="dxa"/>
            <w:vAlign w:val="bottom"/>
          </w:tcPr>
          <w:p>
            <w:pPr>
              <w:spacing w:line="201" w:lineRule="exact"/>
              <w:ind w:left="40"/>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指标 1：资金到位</w:t>
            </w:r>
          </w:p>
        </w:tc>
        <w:tc>
          <w:tcPr>
            <w:tcW w:w="675" w:type="dxa"/>
          </w:tcPr>
          <w:p>
            <w:pPr>
              <w:spacing w:line="0" w:lineRule="atLeast"/>
              <w:jc w:val="center"/>
              <w:rPr>
                <w:rFonts w:hint="default" w:ascii="Times New Roman" w:hAnsi="Times New Roman" w:eastAsia="仿宋_GB2312" w:cs="Times New Roman"/>
                <w:color w:val="auto"/>
                <w:sz w:val="20"/>
                <w:szCs w:val="28"/>
              </w:rPr>
            </w:pPr>
            <w:r>
              <w:rPr>
                <w:rFonts w:hint="default" w:ascii="Times New Roman" w:hAnsi="Times New Roman" w:eastAsia="仿宋_GB2312" w:cs="Times New Roman"/>
                <w:color w:val="auto"/>
                <w:sz w:val="20"/>
                <w:szCs w:val="28"/>
              </w:rPr>
              <w:t>100%</w:t>
            </w:r>
          </w:p>
        </w:tc>
        <w:tc>
          <w:tcPr>
            <w:tcW w:w="675" w:type="dxa"/>
          </w:tcPr>
          <w:p>
            <w:pPr>
              <w:spacing w:line="0" w:lineRule="atLeas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0"/>
                <w:szCs w:val="28"/>
              </w:rPr>
              <w:t>100%</w:t>
            </w:r>
          </w:p>
        </w:tc>
        <w:tc>
          <w:tcPr>
            <w:tcW w:w="637" w:type="dxa"/>
          </w:tcPr>
          <w:p>
            <w:pPr>
              <w:spacing w:line="0" w:lineRule="atLeast"/>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10</w:t>
            </w:r>
          </w:p>
        </w:tc>
        <w:tc>
          <w:tcPr>
            <w:tcW w:w="638" w:type="dxa"/>
          </w:tcPr>
          <w:p>
            <w:pPr>
              <w:spacing w:line="0" w:lineRule="atLeast"/>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10</w:t>
            </w:r>
          </w:p>
        </w:tc>
        <w:tc>
          <w:tcPr>
            <w:tcW w:w="1716" w:type="dxa"/>
          </w:tcPr>
          <w:p>
            <w:pPr>
              <w:spacing w:line="0" w:lineRule="atLeast"/>
              <w:rPr>
                <w:rFonts w:hint="default" w:ascii="Times New Roman" w:hAnsi="Times New Roman"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vMerge w:val="continue"/>
            <w:vAlign w:val="center"/>
          </w:tcPr>
          <w:p>
            <w:pPr>
              <w:spacing w:line="0" w:lineRule="atLeast"/>
              <w:jc w:val="center"/>
              <w:rPr>
                <w:rFonts w:hint="default" w:ascii="Times New Roman" w:hAnsi="Times New Roman" w:eastAsia="仿宋_GB2312" w:cs="Times New Roman"/>
                <w:color w:val="auto"/>
                <w:sz w:val="22"/>
                <w:szCs w:val="22"/>
              </w:rPr>
            </w:pPr>
          </w:p>
        </w:tc>
        <w:tc>
          <w:tcPr>
            <w:tcW w:w="1250" w:type="dxa"/>
            <w:vMerge w:val="continue"/>
            <w:vAlign w:val="bottom"/>
          </w:tcPr>
          <w:p>
            <w:pPr>
              <w:spacing w:line="0" w:lineRule="atLeast"/>
              <w:rPr>
                <w:rFonts w:hint="default" w:ascii="Times New Roman" w:hAnsi="Times New Roman" w:eastAsia="仿宋_GB2312" w:cs="Times New Roman"/>
                <w:color w:val="auto"/>
                <w:sz w:val="24"/>
                <w:szCs w:val="24"/>
              </w:rPr>
            </w:pPr>
          </w:p>
        </w:tc>
        <w:tc>
          <w:tcPr>
            <w:tcW w:w="1113" w:type="dxa"/>
            <w:vMerge w:val="continue"/>
          </w:tcPr>
          <w:p>
            <w:pPr>
              <w:spacing w:line="0" w:lineRule="atLeast"/>
              <w:rPr>
                <w:rFonts w:hint="default" w:ascii="Times New Roman" w:hAnsi="Times New Roman" w:eastAsia="仿宋_GB2312" w:cs="Times New Roman"/>
                <w:color w:val="auto"/>
                <w:sz w:val="24"/>
                <w:szCs w:val="24"/>
              </w:rPr>
            </w:pPr>
          </w:p>
        </w:tc>
        <w:tc>
          <w:tcPr>
            <w:tcW w:w="2125" w:type="dxa"/>
          </w:tcPr>
          <w:p>
            <w:pPr>
              <w:spacing w:line="0" w:lineRule="atLeast"/>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指标 2：</w:t>
            </w:r>
          </w:p>
        </w:tc>
        <w:tc>
          <w:tcPr>
            <w:tcW w:w="675" w:type="dxa"/>
          </w:tcPr>
          <w:p>
            <w:pPr>
              <w:spacing w:line="0" w:lineRule="atLeast"/>
              <w:jc w:val="center"/>
              <w:rPr>
                <w:rFonts w:hint="default" w:ascii="Times New Roman" w:hAnsi="Times New Roman" w:eastAsia="仿宋_GB2312" w:cs="Times New Roman"/>
                <w:color w:val="auto"/>
                <w:sz w:val="24"/>
                <w:szCs w:val="24"/>
              </w:rPr>
            </w:pPr>
          </w:p>
        </w:tc>
        <w:tc>
          <w:tcPr>
            <w:tcW w:w="675" w:type="dxa"/>
          </w:tcPr>
          <w:p>
            <w:pPr>
              <w:spacing w:line="0" w:lineRule="atLeast"/>
              <w:jc w:val="center"/>
              <w:rPr>
                <w:rFonts w:hint="default" w:ascii="Times New Roman" w:hAnsi="Times New Roman" w:eastAsia="仿宋_GB2312" w:cs="Times New Roman"/>
                <w:color w:val="auto"/>
                <w:sz w:val="24"/>
                <w:szCs w:val="24"/>
              </w:rPr>
            </w:pPr>
          </w:p>
        </w:tc>
        <w:tc>
          <w:tcPr>
            <w:tcW w:w="637" w:type="dxa"/>
          </w:tcPr>
          <w:p>
            <w:pPr>
              <w:spacing w:line="0" w:lineRule="atLeast"/>
              <w:jc w:val="center"/>
              <w:rPr>
                <w:rFonts w:hint="default" w:ascii="Times New Roman" w:hAnsi="Times New Roman" w:eastAsia="仿宋_GB2312" w:cs="Times New Roman"/>
                <w:color w:val="auto"/>
                <w:sz w:val="21"/>
                <w:szCs w:val="21"/>
              </w:rPr>
            </w:pPr>
          </w:p>
        </w:tc>
        <w:tc>
          <w:tcPr>
            <w:tcW w:w="638" w:type="dxa"/>
          </w:tcPr>
          <w:p>
            <w:pPr>
              <w:spacing w:line="0" w:lineRule="atLeast"/>
              <w:jc w:val="center"/>
              <w:rPr>
                <w:rFonts w:hint="default" w:ascii="Times New Roman" w:hAnsi="Times New Roman" w:eastAsia="仿宋_GB2312" w:cs="Times New Roman"/>
                <w:color w:val="auto"/>
                <w:sz w:val="21"/>
                <w:szCs w:val="21"/>
              </w:rPr>
            </w:pPr>
          </w:p>
        </w:tc>
        <w:tc>
          <w:tcPr>
            <w:tcW w:w="1716" w:type="dxa"/>
          </w:tcPr>
          <w:p>
            <w:pPr>
              <w:spacing w:line="0" w:lineRule="atLeast"/>
              <w:rPr>
                <w:rFonts w:hint="default" w:ascii="Times New Roman" w:hAnsi="Times New Roman"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956" w:type="dxa"/>
            <w:vMerge w:val="continue"/>
            <w:vAlign w:val="center"/>
          </w:tcPr>
          <w:p>
            <w:pPr>
              <w:spacing w:line="0" w:lineRule="atLeast"/>
              <w:jc w:val="center"/>
              <w:rPr>
                <w:rFonts w:hint="default" w:ascii="Times New Roman" w:hAnsi="Times New Roman" w:eastAsia="仿宋_GB2312" w:cs="Times New Roman"/>
                <w:color w:val="auto"/>
                <w:sz w:val="22"/>
                <w:szCs w:val="22"/>
              </w:rPr>
            </w:pPr>
          </w:p>
        </w:tc>
        <w:tc>
          <w:tcPr>
            <w:tcW w:w="1250" w:type="dxa"/>
            <w:vMerge w:val="continue"/>
          </w:tcPr>
          <w:p>
            <w:pPr>
              <w:spacing w:line="0" w:lineRule="atLeast"/>
              <w:rPr>
                <w:rFonts w:hint="default" w:ascii="Times New Roman" w:hAnsi="Times New Roman" w:eastAsia="仿宋_GB2312" w:cs="Times New Roman"/>
                <w:color w:val="auto"/>
                <w:sz w:val="24"/>
                <w:szCs w:val="24"/>
              </w:rPr>
            </w:pPr>
          </w:p>
        </w:tc>
        <w:tc>
          <w:tcPr>
            <w:tcW w:w="1113" w:type="dxa"/>
            <w:vMerge w:val="restart"/>
            <w:vAlign w:val="bottom"/>
          </w:tcPr>
          <w:p>
            <w:pPr>
              <w:spacing w:line="24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w w:val="98"/>
                <w:sz w:val="24"/>
                <w:szCs w:val="24"/>
              </w:rPr>
              <w:t>社会效益指标</w:t>
            </w:r>
          </w:p>
        </w:tc>
        <w:tc>
          <w:tcPr>
            <w:tcW w:w="2125" w:type="dxa"/>
            <w:vAlign w:val="bottom"/>
          </w:tcPr>
          <w:p>
            <w:pPr>
              <w:spacing w:line="208" w:lineRule="exact"/>
              <w:ind w:left="40"/>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指标 1：群众免费收听率</w:t>
            </w:r>
          </w:p>
        </w:tc>
        <w:tc>
          <w:tcPr>
            <w:tcW w:w="675" w:type="dxa"/>
          </w:tcPr>
          <w:p>
            <w:pPr>
              <w:spacing w:line="0" w:lineRule="atLeast"/>
              <w:jc w:val="center"/>
              <w:rPr>
                <w:rFonts w:hint="default" w:ascii="Times New Roman" w:hAnsi="Times New Roman" w:eastAsia="仿宋_GB2312" w:cs="Times New Roman"/>
                <w:color w:val="auto"/>
                <w:sz w:val="21"/>
                <w:szCs w:val="28"/>
              </w:rPr>
            </w:pPr>
            <w:r>
              <w:rPr>
                <w:rFonts w:hint="default" w:ascii="Times New Roman" w:hAnsi="Times New Roman" w:eastAsia="仿宋_GB2312" w:cs="Times New Roman"/>
                <w:color w:val="auto"/>
                <w:sz w:val="20"/>
                <w:szCs w:val="28"/>
              </w:rPr>
              <w:t>100%</w:t>
            </w:r>
          </w:p>
        </w:tc>
        <w:tc>
          <w:tcPr>
            <w:tcW w:w="675" w:type="dxa"/>
          </w:tcPr>
          <w:p>
            <w:pPr>
              <w:spacing w:line="0" w:lineRule="atLeas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0"/>
                <w:szCs w:val="28"/>
              </w:rPr>
              <w:t>100%</w:t>
            </w:r>
          </w:p>
        </w:tc>
        <w:tc>
          <w:tcPr>
            <w:tcW w:w="637" w:type="dxa"/>
          </w:tcPr>
          <w:p>
            <w:pPr>
              <w:spacing w:line="0" w:lineRule="atLeast"/>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10</w:t>
            </w:r>
          </w:p>
        </w:tc>
        <w:tc>
          <w:tcPr>
            <w:tcW w:w="638" w:type="dxa"/>
          </w:tcPr>
          <w:p>
            <w:pPr>
              <w:spacing w:line="0" w:lineRule="atLeast"/>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10</w:t>
            </w:r>
          </w:p>
        </w:tc>
        <w:tc>
          <w:tcPr>
            <w:tcW w:w="1716" w:type="dxa"/>
          </w:tcPr>
          <w:p>
            <w:pPr>
              <w:spacing w:line="0" w:lineRule="atLeast"/>
              <w:rPr>
                <w:rFonts w:hint="default" w:ascii="Times New Roman" w:hAnsi="Times New Roman"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956" w:type="dxa"/>
            <w:vMerge w:val="continue"/>
            <w:vAlign w:val="center"/>
          </w:tcPr>
          <w:p>
            <w:pPr>
              <w:spacing w:line="0" w:lineRule="atLeast"/>
              <w:jc w:val="center"/>
              <w:rPr>
                <w:rFonts w:hint="default" w:ascii="Times New Roman" w:hAnsi="Times New Roman" w:eastAsia="仿宋_GB2312" w:cs="Times New Roman"/>
                <w:color w:val="auto"/>
                <w:sz w:val="22"/>
                <w:szCs w:val="22"/>
              </w:rPr>
            </w:pPr>
          </w:p>
        </w:tc>
        <w:tc>
          <w:tcPr>
            <w:tcW w:w="1250" w:type="dxa"/>
            <w:vMerge w:val="continue"/>
          </w:tcPr>
          <w:p>
            <w:pPr>
              <w:spacing w:line="0" w:lineRule="atLeast"/>
              <w:rPr>
                <w:rFonts w:hint="default" w:ascii="Times New Roman" w:hAnsi="Times New Roman" w:eastAsia="仿宋_GB2312" w:cs="Times New Roman"/>
                <w:color w:val="auto"/>
                <w:sz w:val="24"/>
                <w:szCs w:val="24"/>
              </w:rPr>
            </w:pPr>
          </w:p>
        </w:tc>
        <w:tc>
          <w:tcPr>
            <w:tcW w:w="1113" w:type="dxa"/>
            <w:vMerge w:val="continue"/>
          </w:tcPr>
          <w:p>
            <w:pPr>
              <w:spacing w:line="0" w:lineRule="atLeast"/>
              <w:rPr>
                <w:rFonts w:hint="default" w:ascii="Times New Roman" w:hAnsi="Times New Roman" w:eastAsia="仿宋_GB2312" w:cs="Times New Roman"/>
                <w:color w:val="auto"/>
                <w:sz w:val="24"/>
                <w:szCs w:val="24"/>
              </w:rPr>
            </w:pPr>
          </w:p>
        </w:tc>
        <w:tc>
          <w:tcPr>
            <w:tcW w:w="2125" w:type="dxa"/>
          </w:tcPr>
          <w:p>
            <w:pPr>
              <w:spacing w:line="0" w:lineRule="atLeast"/>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指标 2：</w:t>
            </w:r>
          </w:p>
        </w:tc>
        <w:tc>
          <w:tcPr>
            <w:tcW w:w="675" w:type="dxa"/>
          </w:tcPr>
          <w:p>
            <w:pPr>
              <w:spacing w:line="0" w:lineRule="atLeast"/>
              <w:jc w:val="center"/>
              <w:rPr>
                <w:rFonts w:hint="default" w:ascii="Times New Roman" w:hAnsi="Times New Roman" w:eastAsia="仿宋_GB2312" w:cs="Times New Roman"/>
                <w:color w:val="auto"/>
                <w:sz w:val="24"/>
                <w:szCs w:val="24"/>
              </w:rPr>
            </w:pPr>
          </w:p>
        </w:tc>
        <w:tc>
          <w:tcPr>
            <w:tcW w:w="675" w:type="dxa"/>
          </w:tcPr>
          <w:p>
            <w:pPr>
              <w:spacing w:line="0" w:lineRule="atLeast"/>
              <w:jc w:val="center"/>
              <w:rPr>
                <w:rFonts w:hint="default" w:ascii="Times New Roman" w:hAnsi="Times New Roman" w:eastAsia="仿宋_GB2312" w:cs="Times New Roman"/>
                <w:color w:val="auto"/>
                <w:sz w:val="24"/>
                <w:szCs w:val="24"/>
              </w:rPr>
            </w:pPr>
          </w:p>
        </w:tc>
        <w:tc>
          <w:tcPr>
            <w:tcW w:w="637" w:type="dxa"/>
          </w:tcPr>
          <w:p>
            <w:pPr>
              <w:spacing w:line="0" w:lineRule="atLeast"/>
              <w:jc w:val="center"/>
              <w:rPr>
                <w:rFonts w:hint="default" w:ascii="Times New Roman" w:hAnsi="Times New Roman" w:eastAsia="仿宋_GB2312" w:cs="Times New Roman"/>
                <w:color w:val="auto"/>
                <w:sz w:val="21"/>
                <w:szCs w:val="21"/>
              </w:rPr>
            </w:pPr>
          </w:p>
        </w:tc>
        <w:tc>
          <w:tcPr>
            <w:tcW w:w="638" w:type="dxa"/>
          </w:tcPr>
          <w:p>
            <w:pPr>
              <w:spacing w:line="0" w:lineRule="atLeast"/>
              <w:jc w:val="center"/>
              <w:rPr>
                <w:rFonts w:hint="default" w:ascii="Times New Roman" w:hAnsi="Times New Roman" w:eastAsia="仿宋_GB2312" w:cs="Times New Roman"/>
                <w:color w:val="auto"/>
                <w:sz w:val="21"/>
                <w:szCs w:val="21"/>
              </w:rPr>
            </w:pPr>
          </w:p>
        </w:tc>
        <w:tc>
          <w:tcPr>
            <w:tcW w:w="1716" w:type="dxa"/>
          </w:tcPr>
          <w:p>
            <w:pPr>
              <w:spacing w:line="0" w:lineRule="atLeast"/>
              <w:rPr>
                <w:rFonts w:hint="default" w:ascii="Times New Roman" w:hAnsi="Times New Roman"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956" w:type="dxa"/>
            <w:vMerge w:val="continue"/>
            <w:vAlign w:val="center"/>
          </w:tcPr>
          <w:p>
            <w:pPr>
              <w:spacing w:line="0" w:lineRule="atLeast"/>
              <w:jc w:val="center"/>
              <w:rPr>
                <w:rFonts w:hint="default" w:ascii="Times New Roman" w:hAnsi="Times New Roman" w:eastAsia="仿宋_GB2312" w:cs="Times New Roman"/>
                <w:color w:val="auto"/>
                <w:sz w:val="22"/>
                <w:szCs w:val="22"/>
              </w:rPr>
            </w:pPr>
          </w:p>
        </w:tc>
        <w:tc>
          <w:tcPr>
            <w:tcW w:w="1250" w:type="dxa"/>
            <w:vMerge w:val="continue"/>
          </w:tcPr>
          <w:p>
            <w:pPr>
              <w:spacing w:line="0" w:lineRule="atLeast"/>
              <w:rPr>
                <w:rFonts w:hint="default" w:ascii="Times New Roman" w:hAnsi="Times New Roman" w:eastAsia="仿宋_GB2312" w:cs="Times New Roman"/>
                <w:color w:val="auto"/>
                <w:sz w:val="24"/>
                <w:szCs w:val="24"/>
              </w:rPr>
            </w:pPr>
          </w:p>
        </w:tc>
        <w:tc>
          <w:tcPr>
            <w:tcW w:w="1113" w:type="dxa"/>
            <w:vMerge w:val="restart"/>
            <w:vAlign w:val="bottom"/>
          </w:tcPr>
          <w:p>
            <w:pPr>
              <w:spacing w:line="24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w w:val="98"/>
                <w:sz w:val="24"/>
                <w:szCs w:val="24"/>
              </w:rPr>
              <w:t>生态效益指标</w:t>
            </w:r>
          </w:p>
        </w:tc>
        <w:tc>
          <w:tcPr>
            <w:tcW w:w="2125" w:type="dxa"/>
            <w:vAlign w:val="bottom"/>
          </w:tcPr>
          <w:p>
            <w:pPr>
              <w:spacing w:line="199" w:lineRule="exact"/>
              <w:ind w:left="40"/>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指标 1：对构建和谐社会的帮助度</w:t>
            </w:r>
          </w:p>
        </w:tc>
        <w:tc>
          <w:tcPr>
            <w:tcW w:w="675" w:type="dxa"/>
          </w:tcPr>
          <w:p>
            <w:pPr>
              <w:spacing w:line="0" w:lineRule="atLeast"/>
              <w:jc w:val="center"/>
              <w:rPr>
                <w:rFonts w:hint="default" w:ascii="Times New Roman" w:hAnsi="Times New Roman" w:eastAsia="仿宋_GB2312" w:cs="Times New Roman"/>
                <w:color w:val="auto"/>
                <w:sz w:val="20"/>
                <w:szCs w:val="28"/>
              </w:rPr>
            </w:pPr>
            <w:r>
              <w:rPr>
                <w:rFonts w:hint="default" w:ascii="Times New Roman" w:hAnsi="Times New Roman" w:eastAsia="仿宋_GB2312" w:cs="Times New Roman"/>
                <w:color w:val="auto"/>
                <w:sz w:val="20"/>
                <w:szCs w:val="28"/>
              </w:rPr>
              <w:t>优</w:t>
            </w:r>
          </w:p>
        </w:tc>
        <w:tc>
          <w:tcPr>
            <w:tcW w:w="675" w:type="dxa"/>
          </w:tcPr>
          <w:p>
            <w:pPr>
              <w:spacing w:line="0" w:lineRule="atLeas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1"/>
                <w:szCs w:val="21"/>
              </w:rPr>
              <w:t>优</w:t>
            </w:r>
          </w:p>
        </w:tc>
        <w:tc>
          <w:tcPr>
            <w:tcW w:w="637" w:type="dxa"/>
          </w:tcPr>
          <w:p>
            <w:pPr>
              <w:spacing w:line="0" w:lineRule="atLeast"/>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10</w:t>
            </w:r>
          </w:p>
        </w:tc>
        <w:tc>
          <w:tcPr>
            <w:tcW w:w="638" w:type="dxa"/>
          </w:tcPr>
          <w:p>
            <w:pPr>
              <w:spacing w:line="0" w:lineRule="atLeast"/>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10</w:t>
            </w:r>
          </w:p>
        </w:tc>
        <w:tc>
          <w:tcPr>
            <w:tcW w:w="1716" w:type="dxa"/>
          </w:tcPr>
          <w:p>
            <w:pPr>
              <w:spacing w:line="0" w:lineRule="atLeast"/>
              <w:rPr>
                <w:rFonts w:hint="default" w:ascii="Times New Roman" w:hAnsi="Times New Roman"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956" w:type="dxa"/>
            <w:vMerge w:val="continue"/>
            <w:vAlign w:val="center"/>
          </w:tcPr>
          <w:p>
            <w:pPr>
              <w:spacing w:line="0" w:lineRule="atLeast"/>
              <w:jc w:val="center"/>
              <w:rPr>
                <w:rFonts w:hint="default" w:ascii="Times New Roman" w:hAnsi="Times New Roman" w:eastAsia="仿宋_GB2312" w:cs="Times New Roman"/>
                <w:color w:val="auto"/>
                <w:sz w:val="22"/>
                <w:szCs w:val="22"/>
              </w:rPr>
            </w:pPr>
          </w:p>
        </w:tc>
        <w:tc>
          <w:tcPr>
            <w:tcW w:w="1250" w:type="dxa"/>
            <w:vMerge w:val="continue"/>
          </w:tcPr>
          <w:p>
            <w:pPr>
              <w:spacing w:line="0" w:lineRule="atLeast"/>
              <w:rPr>
                <w:rFonts w:hint="default" w:ascii="Times New Roman" w:hAnsi="Times New Roman" w:eastAsia="仿宋_GB2312" w:cs="Times New Roman"/>
                <w:color w:val="auto"/>
                <w:sz w:val="24"/>
                <w:szCs w:val="24"/>
              </w:rPr>
            </w:pPr>
          </w:p>
        </w:tc>
        <w:tc>
          <w:tcPr>
            <w:tcW w:w="1113" w:type="dxa"/>
            <w:vMerge w:val="continue"/>
          </w:tcPr>
          <w:p>
            <w:pPr>
              <w:spacing w:line="0" w:lineRule="atLeast"/>
              <w:rPr>
                <w:rFonts w:hint="default" w:ascii="Times New Roman" w:hAnsi="Times New Roman" w:eastAsia="仿宋_GB2312" w:cs="Times New Roman"/>
                <w:color w:val="auto"/>
                <w:sz w:val="24"/>
                <w:szCs w:val="24"/>
              </w:rPr>
            </w:pPr>
          </w:p>
        </w:tc>
        <w:tc>
          <w:tcPr>
            <w:tcW w:w="2125" w:type="dxa"/>
          </w:tcPr>
          <w:p>
            <w:pPr>
              <w:spacing w:line="0" w:lineRule="atLeast"/>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指标 2：</w:t>
            </w:r>
          </w:p>
        </w:tc>
        <w:tc>
          <w:tcPr>
            <w:tcW w:w="675" w:type="dxa"/>
          </w:tcPr>
          <w:p>
            <w:pPr>
              <w:spacing w:line="0" w:lineRule="atLeast"/>
              <w:jc w:val="center"/>
              <w:rPr>
                <w:rFonts w:hint="default" w:ascii="Times New Roman" w:hAnsi="Times New Roman" w:eastAsia="仿宋_GB2312" w:cs="Times New Roman"/>
                <w:color w:val="auto"/>
                <w:sz w:val="24"/>
                <w:szCs w:val="24"/>
              </w:rPr>
            </w:pPr>
          </w:p>
        </w:tc>
        <w:tc>
          <w:tcPr>
            <w:tcW w:w="675" w:type="dxa"/>
          </w:tcPr>
          <w:p>
            <w:pPr>
              <w:spacing w:line="0" w:lineRule="atLeast"/>
              <w:jc w:val="center"/>
              <w:rPr>
                <w:rFonts w:hint="default" w:ascii="Times New Roman" w:hAnsi="Times New Roman" w:eastAsia="仿宋_GB2312" w:cs="Times New Roman"/>
                <w:color w:val="auto"/>
                <w:sz w:val="24"/>
                <w:szCs w:val="24"/>
              </w:rPr>
            </w:pPr>
          </w:p>
        </w:tc>
        <w:tc>
          <w:tcPr>
            <w:tcW w:w="637" w:type="dxa"/>
          </w:tcPr>
          <w:p>
            <w:pPr>
              <w:spacing w:line="0" w:lineRule="atLeast"/>
              <w:jc w:val="center"/>
              <w:rPr>
                <w:rFonts w:hint="default" w:ascii="Times New Roman" w:hAnsi="Times New Roman" w:eastAsia="仿宋_GB2312" w:cs="Times New Roman"/>
                <w:color w:val="auto"/>
                <w:sz w:val="21"/>
                <w:szCs w:val="21"/>
              </w:rPr>
            </w:pPr>
          </w:p>
        </w:tc>
        <w:tc>
          <w:tcPr>
            <w:tcW w:w="638" w:type="dxa"/>
          </w:tcPr>
          <w:p>
            <w:pPr>
              <w:spacing w:line="0" w:lineRule="atLeast"/>
              <w:jc w:val="center"/>
              <w:rPr>
                <w:rFonts w:hint="default" w:ascii="Times New Roman" w:hAnsi="Times New Roman" w:eastAsia="仿宋_GB2312" w:cs="Times New Roman"/>
                <w:color w:val="auto"/>
                <w:sz w:val="21"/>
                <w:szCs w:val="21"/>
              </w:rPr>
            </w:pPr>
          </w:p>
        </w:tc>
        <w:tc>
          <w:tcPr>
            <w:tcW w:w="1716" w:type="dxa"/>
          </w:tcPr>
          <w:p>
            <w:pPr>
              <w:spacing w:line="0" w:lineRule="atLeast"/>
              <w:rPr>
                <w:rFonts w:hint="default" w:ascii="Times New Roman" w:hAnsi="Times New Roman"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956" w:type="dxa"/>
            <w:vMerge w:val="restart"/>
            <w:vAlign w:val="center"/>
          </w:tcPr>
          <w:p>
            <w:pPr>
              <w:spacing w:line="240" w:lineRule="exact"/>
              <w:jc w:val="center"/>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sz w:val="22"/>
                <w:szCs w:val="22"/>
              </w:rPr>
              <w:t>绩</w:t>
            </w:r>
          </w:p>
          <w:p>
            <w:pPr>
              <w:spacing w:line="240" w:lineRule="exact"/>
              <w:jc w:val="center"/>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sz w:val="22"/>
                <w:szCs w:val="22"/>
              </w:rPr>
              <w:t>效</w:t>
            </w:r>
          </w:p>
          <w:p>
            <w:pPr>
              <w:spacing w:line="240" w:lineRule="exact"/>
              <w:jc w:val="center"/>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sz w:val="22"/>
                <w:szCs w:val="22"/>
              </w:rPr>
              <w:t>指</w:t>
            </w:r>
          </w:p>
          <w:p>
            <w:pPr>
              <w:spacing w:line="0" w:lineRule="atLeast"/>
              <w:ind w:firstLine="220" w:firstLineChars="100"/>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sz w:val="22"/>
                <w:szCs w:val="22"/>
              </w:rPr>
              <w:t>标</w:t>
            </w:r>
          </w:p>
        </w:tc>
        <w:tc>
          <w:tcPr>
            <w:tcW w:w="1250" w:type="dxa"/>
            <w:vMerge w:val="restart"/>
            <w:vAlign w:val="bottom"/>
          </w:tcPr>
          <w:p>
            <w:pPr>
              <w:spacing w:line="0" w:lineRule="atLeast"/>
              <w:rPr>
                <w:rFonts w:hint="default" w:ascii="Times New Roman" w:hAnsi="Times New Roman" w:eastAsia="仿宋_GB2312" w:cs="Times New Roman"/>
                <w:color w:val="auto"/>
                <w:sz w:val="24"/>
                <w:szCs w:val="24"/>
              </w:rPr>
            </w:pPr>
          </w:p>
        </w:tc>
        <w:tc>
          <w:tcPr>
            <w:tcW w:w="1113" w:type="dxa"/>
            <w:vMerge w:val="restart"/>
            <w:vAlign w:val="bottom"/>
          </w:tcPr>
          <w:p>
            <w:pPr>
              <w:spacing w:line="240"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w w:val="99"/>
                <w:sz w:val="24"/>
                <w:szCs w:val="24"/>
              </w:rPr>
              <w:t>可持续影</w:t>
            </w:r>
            <w:r>
              <w:rPr>
                <w:rFonts w:hint="default" w:ascii="Times New Roman" w:hAnsi="Times New Roman" w:eastAsia="仿宋_GB2312" w:cs="Times New Roman"/>
                <w:color w:val="auto"/>
                <w:w w:val="98"/>
                <w:sz w:val="24"/>
                <w:szCs w:val="24"/>
              </w:rPr>
              <w:t>响指标</w:t>
            </w:r>
          </w:p>
        </w:tc>
        <w:tc>
          <w:tcPr>
            <w:tcW w:w="2125" w:type="dxa"/>
          </w:tcPr>
          <w:p>
            <w:pPr>
              <w:spacing w:line="0" w:lineRule="atLeast"/>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指标 1：中央台、湖南台广播节目覆盖率</w:t>
            </w:r>
          </w:p>
        </w:tc>
        <w:tc>
          <w:tcPr>
            <w:tcW w:w="675" w:type="dxa"/>
          </w:tcPr>
          <w:p>
            <w:pPr>
              <w:spacing w:line="0" w:lineRule="atLeas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0"/>
                <w:szCs w:val="28"/>
              </w:rPr>
              <w:t>100%</w:t>
            </w:r>
          </w:p>
        </w:tc>
        <w:tc>
          <w:tcPr>
            <w:tcW w:w="675" w:type="dxa"/>
          </w:tcPr>
          <w:p>
            <w:pPr>
              <w:spacing w:line="0" w:lineRule="atLeas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0"/>
                <w:szCs w:val="28"/>
              </w:rPr>
              <w:t>100%</w:t>
            </w:r>
          </w:p>
        </w:tc>
        <w:tc>
          <w:tcPr>
            <w:tcW w:w="637" w:type="dxa"/>
          </w:tcPr>
          <w:p>
            <w:pPr>
              <w:spacing w:line="0" w:lineRule="atLeast"/>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5</w:t>
            </w:r>
          </w:p>
        </w:tc>
        <w:tc>
          <w:tcPr>
            <w:tcW w:w="638" w:type="dxa"/>
          </w:tcPr>
          <w:p>
            <w:pPr>
              <w:spacing w:line="0" w:lineRule="atLeast"/>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5</w:t>
            </w:r>
          </w:p>
        </w:tc>
        <w:tc>
          <w:tcPr>
            <w:tcW w:w="1716" w:type="dxa"/>
          </w:tcPr>
          <w:p>
            <w:pPr>
              <w:spacing w:line="0" w:lineRule="atLeast"/>
              <w:rPr>
                <w:rFonts w:hint="default" w:ascii="Times New Roman" w:hAnsi="Times New Roman"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956" w:type="dxa"/>
            <w:vMerge w:val="continue"/>
          </w:tcPr>
          <w:p>
            <w:pPr>
              <w:spacing w:line="0" w:lineRule="atLeast"/>
              <w:rPr>
                <w:rFonts w:hint="default" w:ascii="Times New Roman" w:hAnsi="Times New Roman" w:eastAsia="仿宋_GB2312" w:cs="Times New Roman"/>
                <w:color w:val="auto"/>
                <w:sz w:val="22"/>
                <w:szCs w:val="22"/>
              </w:rPr>
            </w:pPr>
          </w:p>
        </w:tc>
        <w:tc>
          <w:tcPr>
            <w:tcW w:w="1250" w:type="dxa"/>
            <w:vMerge w:val="continue"/>
            <w:vAlign w:val="bottom"/>
          </w:tcPr>
          <w:p>
            <w:pPr>
              <w:spacing w:line="0" w:lineRule="atLeast"/>
              <w:rPr>
                <w:rFonts w:hint="default" w:ascii="Times New Roman" w:hAnsi="Times New Roman" w:eastAsia="仿宋_GB2312" w:cs="Times New Roman"/>
                <w:color w:val="auto"/>
                <w:sz w:val="24"/>
                <w:szCs w:val="24"/>
              </w:rPr>
            </w:pPr>
          </w:p>
        </w:tc>
        <w:tc>
          <w:tcPr>
            <w:tcW w:w="1113" w:type="dxa"/>
            <w:vMerge w:val="continue"/>
          </w:tcPr>
          <w:p>
            <w:pPr>
              <w:spacing w:line="0" w:lineRule="atLeast"/>
              <w:rPr>
                <w:rFonts w:hint="default" w:ascii="Times New Roman" w:hAnsi="Times New Roman" w:eastAsia="仿宋_GB2312" w:cs="Times New Roman"/>
                <w:color w:val="auto"/>
                <w:sz w:val="24"/>
                <w:szCs w:val="24"/>
              </w:rPr>
            </w:pPr>
          </w:p>
        </w:tc>
        <w:tc>
          <w:tcPr>
            <w:tcW w:w="2125" w:type="dxa"/>
          </w:tcPr>
          <w:p>
            <w:pPr>
              <w:spacing w:line="0" w:lineRule="atLeast"/>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指标 2：</w:t>
            </w:r>
          </w:p>
        </w:tc>
        <w:tc>
          <w:tcPr>
            <w:tcW w:w="675" w:type="dxa"/>
          </w:tcPr>
          <w:p>
            <w:pPr>
              <w:spacing w:line="0" w:lineRule="atLeast"/>
              <w:jc w:val="center"/>
              <w:rPr>
                <w:rFonts w:hint="default" w:ascii="Times New Roman" w:hAnsi="Times New Roman" w:eastAsia="仿宋_GB2312" w:cs="Times New Roman"/>
                <w:color w:val="auto"/>
                <w:sz w:val="24"/>
                <w:szCs w:val="24"/>
              </w:rPr>
            </w:pPr>
          </w:p>
        </w:tc>
        <w:tc>
          <w:tcPr>
            <w:tcW w:w="675" w:type="dxa"/>
          </w:tcPr>
          <w:p>
            <w:pPr>
              <w:spacing w:line="0" w:lineRule="atLeast"/>
              <w:jc w:val="center"/>
              <w:rPr>
                <w:rFonts w:hint="default" w:ascii="Times New Roman" w:hAnsi="Times New Roman" w:eastAsia="仿宋_GB2312" w:cs="Times New Roman"/>
                <w:color w:val="auto"/>
                <w:sz w:val="24"/>
                <w:szCs w:val="24"/>
              </w:rPr>
            </w:pPr>
          </w:p>
        </w:tc>
        <w:tc>
          <w:tcPr>
            <w:tcW w:w="637" w:type="dxa"/>
          </w:tcPr>
          <w:p>
            <w:pPr>
              <w:spacing w:line="0" w:lineRule="atLeast"/>
              <w:jc w:val="center"/>
              <w:rPr>
                <w:rFonts w:hint="default" w:ascii="Times New Roman" w:hAnsi="Times New Roman" w:eastAsia="仿宋_GB2312" w:cs="Times New Roman"/>
                <w:color w:val="auto"/>
                <w:sz w:val="21"/>
                <w:szCs w:val="21"/>
              </w:rPr>
            </w:pPr>
          </w:p>
        </w:tc>
        <w:tc>
          <w:tcPr>
            <w:tcW w:w="638" w:type="dxa"/>
          </w:tcPr>
          <w:p>
            <w:pPr>
              <w:spacing w:line="0" w:lineRule="atLeast"/>
              <w:jc w:val="center"/>
              <w:rPr>
                <w:rFonts w:hint="default" w:ascii="Times New Roman" w:hAnsi="Times New Roman" w:eastAsia="仿宋_GB2312" w:cs="Times New Roman"/>
                <w:color w:val="auto"/>
                <w:sz w:val="21"/>
                <w:szCs w:val="21"/>
              </w:rPr>
            </w:pPr>
          </w:p>
        </w:tc>
        <w:tc>
          <w:tcPr>
            <w:tcW w:w="1716" w:type="dxa"/>
          </w:tcPr>
          <w:p>
            <w:pPr>
              <w:spacing w:line="0" w:lineRule="atLeast"/>
              <w:rPr>
                <w:rFonts w:hint="default" w:ascii="Times New Roman" w:hAnsi="Times New Roman"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956" w:type="dxa"/>
            <w:vMerge w:val="continue"/>
          </w:tcPr>
          <w:p>
            <w:pPr>
              <w:spacing w:line="0" w:lineRule="atLeast"/>
              <w:rPr>
                <w:rFonts w:hint="default" w:ascii="Times New Roman" w:hAnsi="Times New Roman" w:eastAsia="仿宋_GB2312" w:cs="Times New Roman"/>
                <w:color w:val="auto"/>
                <w:sz w:val="22"/>
                <w:szCs w:val="22"/>
              </w:rPr>
            </w:pPr>
          </w:p>
        </w:tc>
        <w:tc>
          <w:tcPr>
            <w:tcW w:w="1250" w:type="dxa"/>
            <w:vMerge w:val="restart"/>
            <w:vAlign w:val="bottom"/>
          </w:tcPr>
          <w:p>
            <w:pPr>
              <w:spacing w:line="209"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w w:val="98"/>
                <w:sz w:val="24"/>
                <w:szCs w:val="24"/>
              </w:rPr>
              <w:t>满意度</w:t>
            </w:r>
            <w:r>
              <w:rPr>
                <w:rFonts w:hint="default" w:ascii="Times New Roman" w:hAnsi="Times New Roman" w:eastAsia="仿宋_GB2312" w:cs="Times New Roman"/>
                <w:color w:val="auto"/>
                <w:w w:val="99"/>
                <w:sz w:val="24"/>
                <w:szCs w:val="24"/>
              </w:rPr>
              <w:t>指标（10 分）</w:t>
            </w:r>
          </w:p>
        </w:tc>
        <w:tc>
          <w:tcPr>
            <w:tcW w:w="1113" w:type="dxa"/>
            <w:vMerge w:val="restart"/>
            <w:vAlign w:val="bottom"/>
          </w:tcPr>
          <w:p>
            <w:pPr>
              <w:spacing w:line="209" w:lineRule="exac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w w:val="99"/>
                <w:sz w:val="24"/>
                <w:szCs w:val="24"/>
              </w:rPr>
              <w:t>服务对象满意度指</w:t>
            </w:r>
            <w:r>
              <w:rPr>
                <w:rFonts w:hint="default" w:ascii="Times New Roman" w:hAnsi="Times New Roman" w:eastAsia="仿宋_GB2312" w:cs="Times New Roman"/>
                <w:color w:val="auto"/>
                <w:sz w:val="24"/>
                <w:szCs w:val="24"/>
              </w:rPr>
              <w:t>标</w:t>
            </w:r>
          </w:p>
        </w:tc>
        <w:tc>
          <w:tcPr>
            <w:tcW w:w="2125" w:type="dxa"/>
          </w:tcPr>
          <w:p>
            <w:pPr>
              <w:spacing w:line="0" w:lineRule="atLeast"/>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指标 1：群众免费收听满意率</w:t>
            </w:r>
          </w:p>
        </w:tc>
        <w:tc>
          <w:tcPr>
            <w:tcW w:w="675" w:type="dxa"/>
          </w:tcPr>
          <w:p>
            <w:pPr>
              <w:spacing w:line="0" w:lineRule="atLeas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0"/>
                <w:szCs w:val="28"/>
              </w:rPr>
              <w:t>100%</w:t>
            </w:r>
          </w:p>
        </w:tc>
        <w:tc>
          <w:tcPr>
            <w:tcW w:w="675" w:type="dxa"/>
          </w:tcPr>
          <w:p>
            <w:pPr>
              <w:spacing w:line="0" w:lineRule="atLeas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0"/>
                <w:szCs w:val="28"/>
              </w:rPr>
              <w:t>98%</w:t>
            </w:r>
          </w:p>
        </w:tc>
        <w:tc>
          <w:tcPr>
            <w:tcW w:w="637" w:type="dxa"/>
          </w:tcPr>
          <w:p>
            <w:pPr>
              <w:spacing w:line="0" w:lineRule="atLeast"/>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5</w:t>
            </w:r>
          </w:p>
        </w:tc>
        <w:tc>
          <w:tcPr>
            <w:tcW w:w="638" w:type="dxa"/>
          </w:tcPr>
          <w:p>
            <w:pPr>
              <w:spacing w:line="0" w:lineRule="atLeast"/>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4</w:t>
            </w:r>
          </w:p>
        </w:tc>
        <w:tc>
          <w:tcPr>
            <w:tcW w:w="1716" w:type="dxa"/>
          </w:tcPr>
          <w:p>
            <w:pPr>
              <w:spacing w:line="0" w:lineRule="atLeas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1"/>
                <w:szCs w:val="21"/>
              </w:rPr>
              <w:t>偏远地区信号差，需增加设备，扩大覆盖范围。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956" w:type="dxa"/>
            <w:vMerge w:val="continue"/>
          </w:tcPr>
          <w:p>
            <w:pPr>
              <w:spacing w:line="0" w:lineRule="atLeast"/>
              <w:rPr>
                <w:rFonts w:hint="default" w:ascii="Times New Roman" w:hAnsi="Times New Roman" w:eastAsia="仿宋_GB2312" w:cs="Times New Roman"/>
                <w:color w:val="auto"/>
                <w:sz w:val="22"/>
                <w:szCs w:val="22"/>
              </w:rPr>
            </w:pPr>
          </w:p>
        </w:tc>
        <w:tc>
          <w:tcPr>
            <w:tcW w:w="1250" w:type="dxa"/>
            <w:vMerge w:val="continue"/>
          </w:tcPr>
          <w:p>
            <w:pPr>
              <w:spacing w:line="0" w:lineRule="atLeast"/>
              <w:rPr>
                <w:rFonts w:hint="default" w:ascii="Times New Roman" w:hAnsi="Times New Roman" w:eastAsia="仿宋_GB2312" w:cs="Times New Roman"/>
                <w:color w:val="auto"/>
                <w:sz w:val="24"/>
                <w:szCs w:val="24"/>
              </w:rPr>
            </w:pPr>
          </w:p>
        </w:tc>
        <w:tc>
          <w:tcPr>
            <w:tcW w:w="1113" w:type="dxa"/>
            <w:vMerge w:val="continue"/>
          </w:tcPr>
          <w:p>
            <w:pPr>
              <w:spacing w:line="0" w:lineRule="atLeast"/>
              <w:rPr>
                <w:rFonts w:hint="default" w:ascii="Times New Roman" w:hAnsi="Times New Roman" w:eastAsia="仿宋_GB2312" w:cs="Times New Roman"/>
                <w:color w:val="auto"/>
                <w:sz w:val="24"/>
                <w:szCs w:val="24"/>
              </w:rPr>
            </w:pPr>
          </w:p>
        </w:tc>
        <w:tc>
          <w:tcPr>
            <w:tcW w:w="2125" w:type="dxa"/>
          </w:tcPr>
          <w:p>
            <w:pPr>
              <w:spacing w:line="0" w:lineRule="atLeast"/>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指标 2：</w:t>
            </w:r>
          </w:p>
        </w:tc>
        <w:tc>
          <w:tcPr>
            <w:tcW w:w="675" w:type="dxa"/>
          </w:tcPr>
          <w:p>
            <w:pPr>
              <w:spacing w:line="0" w:lineRule="atLeast"/>
              <w:jc w:val="center"/>
              <w:rPr>
                <w:rFonts w:hint="default" w:ascii="Times New Roman" w:hAnsi="Times New Roman" w:eastAsia="仿宋_GB2312" w:cs="Times New Roman"/>
                <w:color w:val="auto"/>
                <w:sz w:val="24"/>
                <w:szCs w:val="24"/>
              </w:rPr>
            </w:pPr>
          </w:p>
        </w:tc>
        <w:tc>
          <w:tcPr>
            <w:tcW w:w="675" w:type="dxa"/>
          </w:tcPr>
          <w:p>
            <w:pPr>
              <w:spacing w:line="0" w:lineRule="atLeast"/>
              <w:jc w:val="center"/>
              <w:rPr>
                <w:rFonts w:hint="default" w:ascii="Times New Roman" w:hAnsi="Times New Roman" w:eastAsia="仿宋_GB2312" w:cs="Times New Roman"/>
                <w:color w:val="auto"/>
                <w:sz w:val="24"/>
                <w:szCs w:val="24"/>
              </w:rPr>
            </w:pPr>
          </w:p>
        </w:tc>
        <w:tc>
          <w:tcPr>
            <w:tcW w:w="637" w:type="dxa"/>
          </w:tcPr>
          <w:p>
            <w:pPr>
              <w:spacing w:line="0" w:lineRule="atLeast"/>
              <w:jc w:val="center"/>
              <w:rPr>
                <w:rFonts w:hint="default" w:ascii="Times New Roman" w:hAnsi="Times New Roman" w:eastAsia="仿宋_GB2312" w:cs="Times New Roman"/>
                <w:color w:val="auto"/>
                <w:sz w:val="21"/>
                <w:szCs w:val="21"/>
              </w:rPr>
            </w:pPr>
          </w:p>
        </w:tc>
        <w:tc>
          <w:tcPr>
            <w:tcW w:w="638" w:type="dxa"/>
          </w:tcPr>
          <w:p>
            <w:pPr>
              <w:spacing w:line="0" w:lineRule="atLeast"/>
              <w:jc w:val="center"/>
              <w:rPr>
                <w:rFonts w:hint="default" w:ascii="Times New Roman" w:hAnsi="Times New Roman" w:eastAsia="仿宋_GB2312" w:cs="Times New Roman"/>
                <w:color w:val="auto"/>
                <w:sz w:val="21"/>
                <w:szCs w:val="21"/>
              </w:rPr>
            </w:pPr>
          </w:p>
        </w:tc>
        <w:tc>
          <w:tcPr>
            <w:tcW w:w="1716" w:type="dxa"/>
          </w:tcPr>
          <w:p>
            <w:pPr>
              <w:spacing w:line="0" w:lineRule="atLeast"/>
              <w:rPr>
                <w:rFonts w:hint="default" w:ascii="Times New Roman" w:hAnsi="Times New Roman"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6794" w:type="dxa"/>
            <w:gridSpan w:val="6"/>
          </w:tcPr>
          <w:p>
            <w:pPr>
              <w:spacing w:line="0" w:lineRule="atLeast"/>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w w:val="99"/>
                <w:sz w:val="24"/>
                <w:szCs w:val="24"/>
              </w:rPr>
              <w:t>总分</w:t>
            </w:r>
          </w:p>
        </w:tc>
        <w:tc>
          <w:tcPr>
            <w:tcW w:w="637" w:type="dxa"/>
          </w:tcPr>
          <w:p>
            <w:pPr>
              <w:spacing w:line="0" w:lineRule="atLeast"/>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100</w:t>
            </w:r>
          </w:p>
        </w:tc>
        <w:tc>
          <w:tcPr>
            <w:tcW w:w="638" w:type="dxa"/>
          </w:tcPr>
          <w:p>
            <w:pPr>
              <w:spacing w:line="0" w:lineRule="atLeast"/>
              <w:jc w:val="center"/>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99</w:t>
            </w:r>
          </w:p>
        </w:tc>
        <w:tc>
          <w:tcPr>
            <w:tcW w:w="1716" w:type="dxa"/>
          </w:tcPr>
          <w:p>
            <w:pPr>
              <w:spacing w:line="0" w:lineRule="atLeast"/>
              <w:rPr>
                <w:rFonts w:hint="default" w:ascii="Times New Roman" w:hAnsi="Times New Roman" w:eastAsia="仿宋_GB2312" w:cs="Times New Roman"/>
                <w:color w:val="auto"/>
                <w:sz w:val="24"/>
                <w:szCs w:val="24"/>
              </w:rPr>
            </w:pPr>
          </w:p>
        </w:tc>
      </w:tr>
    </w:tbl>
    <w:p>
      <w:pPr>
        <w:spacing w:line="0" w:lineRule="atLeast"/>
        <w:ind w:firstLine="8820" w:firstLineChars="4200"/>
        <w:rPr>
          <w:rFonts w:hint="default" w:ascii="Times New Roman" w:hAnsi="Times New Roman" w:eastAsia="仿宋_GB2312" w:cs="Times New Roman"/>
          <w:color w:val="auto"/>
          <w:szCs w:val="21"/>
        </w:rPr>
      </w:pPr>
    </w:p>
    <w:tbl>
      <w:tblPr>
        <w:tblStyle w:val="7"/>
        <w:tblW w:w="10016" w:type="dxa"/>
        <w:tblInd w:w="-508" w:type="dxa"/>
        <w:tblLayout w:type="fixed"/>
        <w:tblCellMar>
          <w:top w:w="0" w:type="dxa"/>
          <w:left w:w="0" w:type="dxa"/>
          <w:bottom w:w="0" w:type="dxa"/>
          <w:right w:w="0" w:type="dxa"/>
        </w:tblCellMar>
      </w:tblPr>
      <w:tblGrid>
        <w:gridCol w:w="2592"/>
        <w:gridCol w:w="1099"/>
        <w:gridCol w:w="964"/>
        <w:gridCol w:w="2218"/>
        <w:gridCol w:w="1774"/>
        <w:gridCol w:w="1369"/>
      </w:tblGrid>
      <w:tr>
        <w:tblPrEx>
          <w:tblCellMar>
            <w:top w:w="0" w:type="dxa"/>
            <w:left w:w="0" w:type="dxa"/>
            <w:bottom w:w="0" w:type="dxa"/>
            <w:right w:w="0" w:type="dxa"/>
          </w:tblCellMar>
        </w:tblPrEx>
        <w:trPr>
          <w:trHeight w:val="337" w:hRule="atLeast"/>
        </w:trPr>
        <w:tc>
          <w:tcPr>
            <w:tcW w:w="2592" w:type="dxa"/>
            <w:shd w:val="clear" w:color="auto" w:fill="auto"/>
            <w:vAlign w:val="bottom"/>
          </w:tcPr>
          <w:p>
            <w:pPr>
              <w:spacing w:line="240" w:lineRule="exact"/>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填表人：张小妹</w:t>
            </w:r>
          </w:p>
        </w:tc>
        <w:tc>
          <w:tcPr>
            <w:tcW w:w="1099" w:type="dxa"/>
            <w:shd w:val="clear" w:color="auto" w:fill="auto"/>
            <w:vAlign w:val="bottom"/>
          </w:tcPr>
          <w:p>
            <w:pPr>
              <w:spacing w:line="240" w:lineRule="exact"/>
              <w:ind w:left="60"/>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填报日期：</w:t>
            </w:r>
          </w:p>
        </w:tc>
        <w:tc>
          <w:tcPr>
            <w:tcW w:w="964" w:type="dxa"/>
            <w:shd w:val="clear" w:color="auto" w:fill="auto"/>
            <w:vAlign w:val="bottom"/>
          </w:tcPr>
          <w:p>
            <w:pPr>
              <w:spacing w:line="0" w:lineRule="atLeast"/>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2021.4.9</w:t>
            </w:r>
          </w:p>
        </w:tc>
        <w:tc>
          <w:tcPr>
            <w:tcW w:w="2218" w:type="dxa"/>
            <w:shd w:val="clear" w:color="auto" w:fill="auto"/>
            <w:vAlign w:val="bottom"/>
          </w:tcPr>
          <w:p>
            <w:pPr>
              <w:spacing w:line="0" w:lineRule="atLeast"/>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联系电话：18673075919</w:t>
            </w:r>
          </w:p>
        </w:tc>
        <w:tc>
          <w:tcPr>
            <w:tcW w:w="1774" w:type="dxa"/>
            <w:shd w:val="clear" w:color="auto" w:fill="auto"/>
            <w:vAlign w:val="bottom"/>
          </w:tcPr>
          <w:p>
            <w:pPr>
              <w:spacing w:line="240" w:lineRule="exact"/>
              <w:ind w:right="15"/>
              <w:jc w:val="right"/>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单位负责人签字：</w:t>
            </w:r>
          </w:p>
        </w:tc>
        <w:tc>
          <w:tcPr>
            <w:tcW w:w="1369" w:type="dxa"/>
            <w:shd w:val="clear" w:color="auto" w:fill="auto"/>
            <w:vAlign w:val="bottom"/>
          </w:tcPr>
          <w:p>
            <w:pPr>
              <w:spacing w:line="0" w:lineRule="atLeast"/>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陈卫东</w:t>
            </w:r>
          </w:p>
        </w:tc>
      </w:tr>
    </w:tbl>
    <w:p>
      <w:pPr>
        <w:ind w:firstLine="640" w:firstLineChars="200"/>
        <w:jc w:val="left"/>
        <w:rPr>
          <w:rFonts w:hint="default" w:ascii="Times New Roman" w:hAnsi="Times New Roman" w:cs="Times New Roman"/>
          <w:color w:val="auto"/>
          <w:kern w:val="0"/>
          <w:sz w:val="32"/>
          <w:szCs w:val="32"/>
        </w:rPr>
      </w:pPr>
    </w:p>
    <w:sectPr>
      <w:pgSz w:w="11906" w:h="16838"/>
      <w:pgMar w:top="720" w:right="890" w:bottom="720" w:left="1457" w:header="851" w:footer="992" w:gutter="0"/>
      <w:cols w:space="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496A8B"/>
    <w:multiLevelType w:val="singleLevel"/>
    <w:tmpl w:val="85496A8B"/>
    <w:lvl w:ilvl="0" w:tentative="0">
      <w:start w:val="6"/>
      <w:numFmt w:val="chineseCounting"/>
      <w:suff w:val="nothing"/>
      <w:lvlText w:val="%1、"/>
      <w:lvlJc w:val="left"/>
      <w:rPr>
        <w:rFonts w:hint="eastAsia"/>
      </w:rPr>
    </w:lvl>
  </w:abstractNum>
  <w:abstractNum w:abstractNumId="1">
    <w:nsid w:val="B356ED13"/>
    <w:multiLevelType w:val="singleLevel"/>
    <w:tmpl w:val="B356ED13"/>
    <w:lvl w:ilvl="0" w:tentative="0">
      <w:start w:val="4"/>
      <w:numFmt w:val="chineseCounting"/>
      <w:suff w:val="nothing"/>
      <w:lvlText w:val="（%1）"/>
      <w:lvlJc w:val="left"/>
      <w:rPr>
        <w:rFonts w:hint="eastAsia"/>
      </w:rPr>
    </w:lvl>
  </w:abstractNum>
  <w:abstractNum w:abstractNumId="2">
    <w:nsid w:val="C3A2C217"/>
    <w:multiLevelType w:val="singleLevel"/>
    <w:tmpl w:val="C3A2C217"/>
    <w:lvl w:ilvl="0" w:tentative="0">
      <w:start w:val="2"/>
      <w:numFmt w:val="decimal"/>
      <w:suff w:val="nothing"/>
      <w:lvlText w:val="%1、"/>
      <w:lvlJc w:val="left"/>
    </w:lvl>
  </w:abstractNum>
  <w:abstractNum w:abstractNumId="3">
    <w:nsid w:val="D8674CD1"/>
    <w:multiLevelType w:val="singleLevel"/>
    <w:tmpl w:val="D8674CD1"/>
    <w:lvl w:ilvl="0" w:tentative="0">
      <w:start w:val="1"/>
      <w:numFmt w:val="decimal"/>
      <w:lvlText w:val="%1."/>
      <w:lvlJc w:val="left"/>
      <w:pPr>
        <w:tabs>
          <w:tab w:val="left" w:pos="312"/>
        </w:tabs>
      </w:pPr>
    </w:lvl>
  </w:abstractNum>
  <w:abstractNum w:abstractNumId="4">
    <w:nsid w:val="ED045F2A"/>
    <w:multiLevelType w:val="singleLevel"/>
    <w:tmpl w:val="ED045F2A"/>
    <w:lvl w:ilvl="0" w:tentative="0">
      <w:start w:val="7"/>
      <w:numFmt w:val="chineseCounting"/>
      <w:suff w:val="nothing"/>
      <w:lvlText w:val="%1、"/>
      <w:lvlJc w:val="left"/>
      <w:rPr>
        <w:rFonts w:hint="eastAsia"/>
      </w:rPr>
    </w:lvl>
  </w:abstractNum>
  <w:abstractNum w:abstractNumId="5">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B9DF3E4"/>
    <w:multiLevelType w:val="singleLevel"/>
    <w:tmpl w:val="7B9DF3E4"/>
    <w:lvl w:ilvl="0" w:tentative="0">
      <w:start w:val="1"/>
      <w:numFmt w:val="decimal"/>
      <w:suff w:val="nothing"/>
      <w:lvlText w:val="%1、"/>
      <w:lvlJc w:val="left"/>
    </w:lvl>
  </w:abstractNum>
  <w:num w:numId="1">
    <w:abstractNumId w:val="5"/>
  </w:num>
  <w:num w:numId="2">
    <w:abstractNumId w:val="2"/>
  </w:num>
  <w:num w:numId="3">
    <w:abstractNumId w:val="6"/>
  </w:num>
  <w:num w:numId="4">
    <w:abstractNumId w:val="1"/>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506F9"/>
    <w:rsid w:val="0002229B"/>
    <w:rsid w:val="000273BD"/>
    <w:rsid w:val="000415B7"/>
    <w:rsid w:val="00041E3F"/>
    <w:rsid w:val="00055DAA"/>
    <w:rsid w:val="00061F7B"/>
    <w:rsid w:val="000658A3"/>
    <w:rsid w:val="00074155"/>
    <w:rsid w:val="000A3F69"/>
    <w:rsid w:val="00103957"/>
    <w:rsid w:val="00152C6D"/>
    <w:rsid w:val="00162D39"/>
    <w:rsid w:val="001678BD"/>
    <w:rsid w:val="001A67DB"/>
    <w:rsid w:val="001C3C29"/>
    <w:rsid w:val="001D51E5"/>
    <w:rsid w:val="001E080D"/>
    <w:rsid w:val="001E53D0"/>
    <w:rsid w:val="001F0C3B"/>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7E6"/>
    <w:rsid w:val="003C4FC2"/>
    <w:rsid w:val="00416E61"/>
    <w:rsid w:val="0042790C"/>
    <w:rsid w:val="004506F9"/>
    <w:rsid w:val="004717A2"/>
    <w:rsid w:val="00473DF3"/>
    <w:rsid w:val="00487911"/>
    <w:rsid w:val="00491741"/>
    <w:rsid w:val="00500E5F"/>
    <w:rsid w:val="005122EF"/>
    <w:rsid w:val="0051441A"/>
    <w:rsid w:val="00517C33"/>
    <w:rsid w:val="00521DBC"/>
    <w:rsid w:val="00523644"/>
    <w:rsid w:val="0054069E"/>
    <w:rsid w:val="00544866"/>
    <w:rsid w:val="005767CC"/>
    <w:rsid w:val="00590D9F"/>
    <w:rsid w:val="00595D26"/>
    <w:rsid w:val="005A74E6"/>
    <w:rsid w:val="005B404E"/>
    <w:rsid w:val="005D4D55"/>
    <w:rsid w:val="005E2CFB"/>
    <w:rsid w:val="005F3D1C"/>
    <w:rsid w:val="0062378F"/>
    <w:rsid w:val="00641842"/>
    <w:rsid w:val="00651EEC"/>
    <w:rsid w:val="00686673"/>
    <w:rsid w:val="00691E8C"/>
    <w:rsid w:val="006A22C4"/>
    <w:rsid w:val="006A351B"/>
    <w:rsid w:val="006B0422"/>
    <w:rsid w:val="006C1B53"/>
    <w:rsid w:val="006D7730"/>
    <w:rsid w:val="006E5284"/>
    <w:rsid w:val="006F3EB5"/>
    <w:rsid w:val="00702E34"/>
    <w:rsid w:val="00704395"/>
    <w:rsid w:val="00717621"/>
    <w:rsid w:val="00720FF1"/>
    <w:rsid w:val="00727A53"/>
    <w:rsid w:val="00787B42"/>
    <w:rsid w:val="007C4539"/>
    <w:rsid w:val="007F3657"/>
    <w:rsid w:val="00812ED5"/>
    <w:rsid w:val="008277D9"/>
    <w:rsid w:val="0084478C"/>
    <w:rsid w:val="00847020"/>
    <w:rsid w:val="00865420"/>
    <w:rsid w:val="0086638C"/>
    <w:rsid w:val="008A3E8D"/>
    <w:rsid w:val="009237C4"/>
    <w:rsid w:val="009366B3"/>
    <w:rsid w:val="00944C48"/>
    <w:rsid w:val="00950252"/>
    <w:rsid w:val="00967F5D"/>
    <w:rsid w:val="009A0F95"/>
    <w:rsid w:val="009B3ADF"/>
    <w:rsid w:val="009C3B52"/>
    <w:rsid w:val="009E6817"/>
    <w:rsid w:val="009E6E9A"/>
    <w:rsid w:val="00A01D2B"/>
    <w:rsid w:val="00A22557"/>
    <w:rsid w:val="00A42218"/>
    <w:rsid w:val="00A70249"/>
    <w:rsid w:val="00A70B02"/>
    <w:rsid w:val="00A71D9F"/>
    <w:rsid w:val="00A92E9F"/>
    <w:rsid w:val="00AC6E22"/>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44EE"/>
    <w:rsid w:val="00DD06FF"/>
    <w:rsid w:val="00DD5FE9"/>
    <w:rsid w:val="00E00C7A"/>
    <w:rsid w:val="00E37D6C"/>
    <w:rsid w:val="00E55B68"/>
    <w:rsid w:val="00E67BE6"/>
    <w:rsid w:val="00E8683C"/>
    <w:rsid w:val="00EA2B72"/>
    <w:rsid w:val="00EB097B"/>
    <w:rsid w:val="00F74360"/>
    <w:rsid w:val="00FB462F"/>
    <w:rsid w:val="00FE16FA"/>
    <w:rsid w:val="00FE328A"/>
    <w:rsid w:val="00FE6269"/>
    <w:rsid w:val="00FF5CD6"/>
    <w:rsid w:val="03F829CF"/>
    <w:rsid w:val="067B27A7"/>
    <w:rsid w:val="068E0DD0"/>
    <w:rsid w:val="0D517FFF"/>
    <w:rsid w:val="136E2AE1"/>
    <w:rsid w:val="16345E1C"/>
    <w:rsid w:val="18E11311"/>
    <w:rsid w:val="1E000FBA"/>
    <w:rsid w:val="20A5228F"/>
    <w:rsid w:val="260C74FE"/>
    <w:rsid w:val="27E01382"/>
    <w:rsid w:val="291E36B8"/>
    <w:rsid w:val="2EB83993"/>
    <w:rsid w:val="31D11CF3"/>
    <w:rsid w:val="33564EED"/>
    <w:rsid w:val="3A8D0A54"/>
    <w:rsid w:val="3E743A58"/>
    <w:rsid w:val="3F523A65"/>
    <w:rsid w:val="3FF9534A"/>
    <w:rsid w:val="435370DD"/>
    <w:rsid w:val="445F7FA5"/>
    <w:rsid w:val="45640F8A"/>
    <w:rsid w:val="47A66EE5"/>
    <w:rsid w:val="49224AC3"/>
    <w:rsid w:val="49D9293F"/>
    <w:rsid w:val="4A3C50C6"/>
    <w:rsid w:val="4A9118B0"/>
    <w:rsid w:val="4EA926B5"/>
    <w:rsid w:val="4F867C6C"/>
    <w:rsid w:val="5268532E"/>
    <w:rsid w:val="532D52C9"/>
    <w:rsid w:val="545F59A4"/>
    <w:rsid w:val="547F48EF"/>
    <w:rsid w:val="55244AC2"/>
    <w:rsid w:val="55B40765"/>
    <w:rsid w:val="576E2F05"/>
    <w:rsid w:val="57CF5254"/>
    <w:rsid w:val="5DC0432D"/>
    <w:rsid w:val="60B469FB"/>
    <w:rsid w:val="618F78D8"/>
    <w:rsid w:val="62C46F40"/>
    <w:rsid w:val="63021CD6"/>
    <w:rsid w:val="6EA6405F"/>
    <w:rsid w:val="6FA1581E"/>
    <w:rsid w:val="76611E30"/>
    <w:rsid w:val="7ADB7AEA"/>
    <w:rsid w:val="7C581D17"/>
    <w:rsid w:val="7C5E76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alloon Text"/>
    <w:basedOn w:val="1"/>
    <w:link w:val="14"/>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页眉 字符"/>
    <w:basedOn w:val="9"/>
    <w:link w:val="5"/>
    <w:qFormat/>
    <w:uiPriority w:val="99"/>
    <w:rPr>
      <w:sz w:val="18"/>
      <w:szCs w:val="18"/>
    </w:rPr>
  </w:style>
  <w:style w:type="character" w:customStyle="1" w:styleId="11">
    <w:name w:val="页脚 字符"/>
    <w:basedOn w:val="9"/>
    <w:link w:val="4"/>
    <w:qFormat/>
    <w:uiPriority w:val="99"/>
    <w:rPr>
      <w:sz w:val="18"/>
      <w:szCs w:val="18"/>
    </w:rPr>
  </w:style>
  <w:style w:type="paragraph" w:customStyle="1" w:styleId="12">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styleId="13">
    <w:name w:val="List Paragraph"/>
    <w:basedOn w:val="1"/>
    <w:qFormat/>
    <w:uiPriority w:val="34"/>
    <w:pPr>
      <w:ind w:firstLine="420" w:firstLineChars="200"/>
    </w:pPr>
  </w:style>
  <w:style w:type="character" w:customStyle="1" w:styleId="14">
    <w:name w:val="批注框文本 字符"/>
    <w:basedOn w:val="9"/>
    <w:link w:val="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181553-C902-486D-89A8-869CF7B9101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30</Pages>
  <Words>2615</Words>
  <Characters>14912</Characters>
  <Lines>124</Lines>
  <Paragraphs>34</Paragraphs>
  <TotalTime>6</TotalTime>
  <ScaleCrop>false</ScaleCrop>
  <LinksUpToDate>false</LinksUpToDate>
  <CharactersWithSpaces>17493</CharactersWithSpaces>
  <Application>WPS Office_11.3.0.9221_F1E327BC-269C-435d-A152-05C5408002CA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钟小8⃣</cp:lastModifiedBy>
  <cp:lastPrinted>2021-08-05T08:54:00Z</cp:lastPrinted>
  <dcterms:modified xsi:type="dcterms:W3CDTF">2021-08-25T09:29:23Z</dcterms:modified>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2052-11.3.0.9221</vt:lpwstr>
  </property>
  <property fmtid="{D5CDD505-2E9C-101B-9397-08002B2CF9AE}" pid="3" name="ICV">
    <vt:lpwstr>33BD828D8B8A4E038DE09DCDA8D2C88C</vt:lpwstr>
  </property>
</Properties>
</file>