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bookmarkStart w:id="3" w:name="_GoBack"/>
      <w:bookmarkEnd w:id="3"/>
    </w:p>
    <w:p>
      <w:pPr>
        <w:pStyle w:val="12"/>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2020年度</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湖南省广播电视监测与安全播出调度中心</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部门决算</w:t>
      </w: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56"/>
          <w:szCs w:val="56"/>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jc w:val="center"/>
        <w:rPr>
          <w:rFonts w:ascii="Times New Roman" w:hAnsi="Times New Roman" w:cs="Times New Roman"/>
          <w:color w:val="auto"/>
          <w:sz w:val="32"/>
          <w:szCs w:val="32"/>
        </w:rPr>
      </w:pPr>
    </w:p>
    <w:p>
      <w:pPr>
        <w:pStyle w:val="12"/>
        <w:spacing w:line="540" w:lineRule="exact"/>
        <w:jc w:val="center"/>
        <w:rPr>
          <w:rFonts w:ascii="Times New Roman" w:hAnsi="Times New Roman" w:cs="Times New Roman"/>
          <w:color w:val="auto"/>
          <w:sz w:val="56"/>
          <w:szCs w:val="56"/>
        </w:rPr>
      </w:pPr>
    </w:p>
    <w:p>
      <w:pPr>
        <w:pStyle w:val="12"/>
        <w:spacing w:line="500" w:lineRule="exact"/>
        <w:jc w:val="center"/>
        <w:rPr>
          <w:rFonts w:ascii="Times New Roman" w:hAnsi="Times New Roman" w:cs="Times New Roman"/>
          <w:b/>
          <w:color w:val="auto"/>
          <w:sz w:val="36"/>
          <w:szCs w:val="28"/>
        </w:rPr>
      </w:pPr>
    </w:p>
    <w:p>
      <w:pPr>
        <w:pStyle w:val="12"/>
        <w:spacing w:line="500" w:lineRule="exact"/>
        <w:jc w:val="center"/>
        <w:rPr>
          <w:rFonts w:ascii="Times New Roman" w:hAnsi="Times New Roman" w:cs="Times New Roman"/>
          <w:b/>
          <w:color w:val="auto"/>
          <w:sz w:val="36"/>
          <w:szCs w:val="28"/>
        </w:rPr>
      </w:pPr>
      <w:r>
        <w:rPr>
          <w:rFonts w:ascii="Times New Roman" w:hAnsi="Times New Roman" w:cs="Times New Roman"/>
          <w:b/>
          <w:color w:val="auto"/>
          <w:sz w:val="36"/>
          <w:szCs w:val="28"/>
        </w:rPr>
        <w:t>目录</w:t>
      </w:r>
    </w:p>
    <w:p>
      <w:pPr>
        <w:pStyle w:val="12"/>
        <w:spacing w:line="500" w:lineRule="exact"/>
        <w:ind w:firstLine="562" w:firstLineChars="200"/>
        <w:rPr>
          <w:rFonts w:ascii="Times New Roman" w:hAnsi="Times New Roman" w:cs="Times New Roman"/>
          <w:b/>
          <w:color w:val="auto"/>
          <w:sz w:val="28"/>
          <w:szCs w:val="28"/>
        </w:rPr>
      </w:pPr>
      <w:r>
        <w:rPr>
          <w:rFonts w:ascii="Times New Roman" w:hAnsi="Times New Roman" w:cs="Times New Roman"/>
          <w:b/>
          <w:color w:val="auto"/>
          <w:sz w:val="28"/>
          <w:szCs w:val="28"/>
        </w:rPr>
        <w:t>第一部分</w:t>
      </w:r>
      <w:r>
        <w:rPr>
          <w:rFonts w:hint="eastAsia" w:ascii="Times New Roman" w:hAnsi="Times New Roman" w:cs="Times New Roman"/>
          <w:b/>
          <w:color w:val="auto"/>
          <w:sz w:val="28"/>
          <w:szCs w:val="28"/>
        </w:rPr>
        <w:t xml:space="preserve"> </w:t>
      </w:r>
      <w:r>
        <w:rPr>
          <w:rFonts w:ascii="Times New Roman" w:hAnsi="Times New Roman" w:cs="Times New Roman"/>
          <w:b/>
          <w:color w:val="auto"/>
          <w:sz w:val="28"/>
          <w:szCs w:val="28"/>
        </w:rPr>
        <w:t>湖南省广播电视监测与安全播出调度中心概况</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一、部门职责</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二、机构设置</w:t>
      </w:r>
    </w:p>
    <w:p>
      <w:pPr>
        <w:pStyle w:val="12"/>
        <w:spacing w:line="500" w:lineRule="exact"/>
        <w:ind w:firstLine="562" w:firstLineChars="200"/>
        <w:rPr>
          <w:rFonts w:ascii="Times New Roman" w:hAnsi="Times New Roman" w:cs="Times New Roman"/>
          <w:b/>
          <w:color w:val="auto"/>
          <w:sz w:val="28"/>
          <w:szCs w:val="28"/>
        </w:rPr>
      </w:pPr>
      <w:r>
        <w:rPr>
          <w:rFonts w:ascii="Times New Roman" w:hAnsi="Times New Roman" w:cs="Times New Roman"/>
          <w:b/>
          <w:color w:val="auto"/>
          <w:sz w:val="28"/>
          <w:szCs w:val="28"/>
        </w:rPr>
        <w:t>第二部分</w:t>
      </w:r>
      <w:r>
        <w:rPr>
          <w:rFonts w:hint="eastAsia" w:ascii="Times New Roman" w:hAnsi="Times New Roman" w:cs="Times New Roman"/>
          <w:b/>
          <w:color w:val="auto"/>
          <w:sz w:val="28"/>
          <w:szCs w:val="28"/>
        </w:rPr>
        <w:t xml:space="preserve"> </w:t>
      </w:r>
      <w:r>
        <w:rPr>
          <w:rFonts w:ascii="Times New Roman" w:hAnsi="Times New Roman" w:cs="Times New Roman"/>
          <w:b/>
          <w:color w:val="auto"/>
          <w:sz w:val="28"/>
          <w:szCs w:val="28"/>
        </w:rPr>
        <w:t>2020年度部门决算表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二、收入决算表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三、支出决算表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四、财政拨款收入支出决算总表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五、一般公共预算财政拨款支出决算表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六、一般公共预算财政拨款基本支出决算表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七、一般公共预算财政拨款“三公”经费支出决算表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八、政府性基金预算财政拨款收入支出决算表</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九、国有资本经营预算财政拨款支出决算表</w:t>
      </w:r>
    </w:p>
    <w:p>
      <w:pPr>
        <w:pStyle w:val="12"/>
        <w:spacing w:line="500" w:lineRule="exact"/>
        <w:ind w:firstLine="562" w:firstLineChars="200"/>
        <w:rPr>
          <w:rFonts w:ascii="Times New Roman" w:hAnsi="Times New Roman" w:cs="Times New Roman"/>
          <w:b/>
          <w:color w:val="auto"/>
          <w:sz w:val="28"/>
          <w:szCs w:val="28"/>
        </w:rPr>
      </w:pPr>
      <w:r>
        <w:rPr>
          <w:rFonts w:ascii="Times New Roman" w:hAnsi="Times New Roman" w:cs="Times New Roman"/>
          <w:b/>
          <w:color w:val="auto"/>
          <w:sz w:val="28"/>
          <w:szCs w:val="28"/>
        </w:rPr>
        <w:t>第三部分</w:t>
      </w:r>
      <w:r>
        <w:rPr>
          <w:rFonts w:hint="eastAsia" w:ascii="Times New Roman" w:hAnsi="Times New Roman" w:cs="Times New Roman"/>
          <w:b/>
          <w:color w:val="auto"/>
          <w:sz w:val="28"/>
          <w:szCs w:val="28"/>
        </w:rPr>
        <w:t xml:space="preserve"> </w:t>
      </w:r>
      <w:r>
        <w:rPr>
          <w:rFonts w:ascii="Times New Roman" w:hAnsi="Times New Roman" w:cs="Times New Roman"/>
          <w:b/>
          <w:color w:val="auto"/>
          <w:sz w:val="28"/>
          <w:szCs w:val="28"/>
        </w:rPr>
        <w:t>2020年度部门决算情况说明</w:t>
      </w:r>
    </w:p>
    <w:p>
      <w:pPr>
        <w:pStyle w:val="12"/>
        <w:spacing w:line="500" w:lineRule="exact"/>
        <w:ind w:firstLine="1260" w:firstLineChars="4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一、收入支出决算总体情况说明</w:t>
      </w:r>
    </w:p>
    <w:p>
      <w:pPr>
        <w:spacing w:line="500" w:lineRule="exact"/>
        <w:ind w:firstLine="1260" w:firstLineChars="450"/>
        <w:jc w:val="left"/>
        <w:rPr>
          <w:rFonts w:ascii="Times New Roman" w:hAnsi="Times New Roman" w:cs="Times New Roman"/>
          <w:color w:val="auto"/>
          <w:sz w:val="28"/>
          <w:szCs w:val="28"/>
        </w:rPr>
      </w:pPr>
      <w:r>
        <w:rPr>
          <w:rFonts w:ascii="Times New Roman" w:hAnsi="Times New Roman" w:cs="Times New Roman"/>
          <w:color w:val="auto"/>
          <w:sz w:val="28"/>
          <w:szCs w:val="28"/>
        </w:rPr>
        <w:t>二、收入决算情况说明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三、支出决算情况说明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四、财政拨款收入支出决算总体情况说明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五、一般公共预算财政拨款支出决算情况说明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六、一般公共预算财政拨款基本支出决算情况说明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七、一般公共预算财政拨款三公经费支出决算情况说明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八、政府性基金预算收入支出决算情况</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九、关于机关运行经费支出说明</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十、一般性支出情况</w:t>
      </w:r>
    </w:p>
    <w:p>
      <w:pPr>
        <w:spacing w:line="500" w:lineRule="exact"/>
        <w:ind w:firstLine="1260" w:firstLineChars="450"/>
        <w:jc w:val="left"/>
        <w:rPr>
          <w:rFonts w:ascii="Times New Roman" w:hAnsi="Times New Roman" w:cs="Times New Roman"/>
          <w:color w:val="auto"/>
          <w:kern w:val="0"/>
          <w:sz w:val="28"/>
          <w:szCs w:val="28"/>
        </w:rPr>
      </w:pPr>
      <w:r>
        <w:rPr>
          <w:rFonts w:ascii="Times New Roman" w:hAnsi="Times New Roman" w:cs="Times New Roman"/>
          <w:color w:val="auto"/>
          <w:kern w:val="0"/>
          <w:sz w:val="28"/>
          <w:szCs w:val="28"/>
        </w:rPr>
        <w:t>十一、关于政府采购支出说明</w:t>
      </w:r>
    </w:p>
    <w:p>
      <w:pPr>
        <w:spacing w:line="500" w:lineRule="exact"/>
        <w:ind w:firstLine="1260" w:firstLineChars="450"/>
        <w:jc w:val="left"/>
        <w:rPr>
          <w:rFonts w:ascii="Times New Roman" w:hAnsi="Times New Roman" w:cs="Times New Roman"/>
          <w:color w:val="auto"/>
          <w:sz w:val="28"/>
          <w:szCs w:val="28"/>
        </w:rPr>
      </w:pPr>
      <w:r>
        <w:rPr>
          <w:rFonts w:ascii="Times New Roman" w:hAnsi="Times New Roman" w:cs="Times New Roman"/>
          <w:color w:val="auto"/>
          <w:sz w:val="28"/>
          <w:szCs w:val="28"/>
        </w:rPr>
        <w:t>十二、关于国有资产占用情况说明</w:t>
      </w:r>
    </w:p>
    <w:p>
      <w:pPr>
        <w:spacing w:line="500" w:lineRule="exact"/>
        <w:ind w:firstLine="1260" w:firstLineChars="450"/>
        <w:jc w:val="left"/>
        <w:rPr>
          <w:rFonts w:ascii="Times New Roman" w:hAnsi="Times New Roman" w:cs="Times New Roman"/>
          <w:color w:val="auto"/>
          <w:sz w:val="28"/>
          <w:szCs w:val="28"/>
        </w:rPr>
      </w:pPr>
      <w:r>
        <w:rPr>
          <w:rFonts w:ascii="Times New Roman" w:hAnsi="Times New Roman" w:cs="Times New Roman"/>
          <w:color w:val="auto"/>
          <w:sz w:val="28"/>
          <w:szCs w:val="28"/>
        </w:rPr>
        <w:t>十三、关于2020年度预算绩效情况的说明</w:t>
      </w:r>
    </w:p>
    <w:p>
      <w:pPr>
        <w:autoSpaceDE w:val="0"/>
        <w:autoSpaceDN w:val="0"/>
        <w:adjustRightInd w:val="0"/>
        <w:spacing w:line="500" w:lineRule="exact"/>
        <w:ind w:firstLine="562" w:firstLineChars="200"/>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第四部分</w:t>
      </w:r>
      <w:r>
        <w:rPr>
          <w:rFonts w:hint="eastAsia" w:ascii="Times New Roman" w:hAnsi="Times New Roman" w:eastAsia="黑体" w:cs="Times New Roman"/>
          <w:b/>
          <w:color w:val="auto"/>
          <w:kern w:val="0"/>
          <w:sz w:val="28"/>
          <w:szCs w:val="28"/>
        </w:rPr>
        <w:t xml:space="preserve"> </w:t>
      </w:r>
      <w:r>
        <w:rPr>
          <w:rFonts w:ascii="Times New Roman" w:hAnsi="Times New Roman" w:eastAsia="黑体" w:cs="Times New Roman"/>
          <w:b/>
          <w:color w:val="auto"/>
          <w:kern w:val="0"/>
          <w:sz w:val="28"/>
          <w:szCs w:val="28"/>
        </w:rPr>
        <w:t>名词解释</w:t>
      </w:r>
    </w:p>
    <w:p>
      <w:pPr>
        <w:autoSpaceDE w:val="0"/>
        <w:autoSpaceDN w:val="0"/>
        <w:adjustRightInd w:val="0"/>
        <w:spacing w:line="500" w:lineRule="exact"/>
        <w:ind w:firstLine="562" w:firstLineChars="200"/>
        <w:jc w:val="left"/>
        <w:rPr>
          <w:rFonts w:ascii="Times New Roman" w:hAnsi="Times New Roman" w:eastAsia="黑体" w:cs="Times New Roman"/>
          <w:b/>
          <w:color w:val="auto"/>
          <w:kern w:val="0"/>
          <w:sz w:val="28"/>
          <w:szCs w:val="28"/>
        </w:rPr>
      </w:pPr>
      <w:r>
        <w:rPr>
          <w:rFonts w:ascii="Times New Roman" w:hAnsi="Times New Roman" w:eastAsia="黑体" w:cs="Times New Roman"/>
          <w:b/>
          <w:color w:val="auto"/>
          <w:kern w:val="0"/>
          <w:sz w:val="28"/>
          <w:szCs w:val="28"/>
        </w:rPr>
        <w:t>第五部分</w:t>
      </w:r>
      <w:r>
        <w:rPr>
          <w:rFonts w:hint="eastAsia" w:ascii="Times New Roman" w:hAnsi="Times New Roman" w:eastAsia="黑体" w:cs="Times New Roman"/>
          <w:b/>
          <w:color w:val="auto"/>
          <w:kern w:val="0"/>
          <w:sz w:val="28"/>
          <w:szCs w:val="28"/>
        </w:rPr>
        <w:t xml:space="preserve"> </w:t>
      </w:r>
      <w:r>
        <w:rPr>
          <w:rFonts w:ascii="Times New Roman" w:hAnsi="Times New Roman" w:eastAsia="黑体" w:cs="Times New Roman"/>
          <w:b/>
          <w:color w:val="auto"/>
          <w:kern w:val="0"/>
          <w:sz w:val="28"/>
          <w:szCs w:val="28"/>
        </w:rPr>
        <w:t>附件</w:t>
      </w:r>
    </w:p>
    <w:p>
      <w:pPr>
        <w:pStyle w:val="12"/>
        <w:jc w:val="center"/>
        <w:rPr>
          <w:rFonts w:ascii="Times New Roman" w:hAnsi="Times New Roman" w:cs="Times New Roman"/>
          <w:color w:val="auto"/>
          <w:sz w:val="72"/>
          <w:szCs w:val="72"/>
        </w:rPr>
      </w:pPr>
      <w:r>
        <w:rPr>
          <w:rFonts w:ascii="Times New Roman" w:hAnsi="Times New Roman" w:cs="Times New Roman"/>
          <w:color w:val="auto"/>
          <w:sz w:val="72"/>
          <w:szCs w:val="72"/>
        </w:rPr>
        <w:br w:type="page"/>
      </w: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 xml:space="preserve">第一部分 </w:t>
      </w: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湖南省广播电视监测与</w:t>
      </w:r>
    </w:p>
    <w:p>
      <w:pPr>
        <w:pStyle w:val="12"/>
        <w:jc w:val="center"/>
        <w:rPr>
          <w:rFonts w:ascii="Times New Roman" w:hAnsi="Times New Roman" w:cs="Times New Roman"/>
          <w:color w:val="auto"/>
          <w:sz w:val="84"/>
          <w:szCs w:val="84"/>
        </w:rPr>
      </w:pPr>
      <w:r>
        <w:rPr>
          <w:rFonts w:ascii="Times New Roman" w:hAnsi="Times New Roman" w:cs="Times New Roman"/>
          <w:color w:val="auto"/>
          <w:sz w:val="84"/>
          <w:szCs w:val="84"/>
        </w:rPr>
        <w:t>安全播出调度中心概况</w:t>
      </w: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cs="Times New Roman"/>
          <w:color w:val="auto"/>
          <w:sz w:val="84"/>
          <w:szCs w:val="84"/>
        </w:rPr>
      </w:pPr>
    </w:p>
    <w:p>
      <w:pPr>
        <w:pStyle w:val="12"/>
        <w:jc w:val="center"/>
        <w:rPr>
          <w:rFonts w:ascii="Times New Roman" w:hAnsi="Times New Roman" w:eastAsia="方正粗黑宋简体" w:cs="Times New Roman"/>
          <w:color w:val="auto"/>
          <w:sz w:val="52"/>
          <w:szCs w:val="52"/>
        </w:rPr>
      </w:pPr>
    </w:p>
    <w:p>
      <w:pPr>
        <w:spacing w:line="56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一、部门职责</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（一）监测全省广播电视安全播出责任单位播出情况，及时发现播出异态情况并通报相关安全播出责任单位和报告主管部门。</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（二）监测全省新闻出版广播影视行业信息系统运行情况，及时发现上述系统运行异态情况并通报相关运行机构和报告主管部门。</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（三）监测省内广播电视及网络新媒体服务质量和广播电视频段的空中电波秩序，对省内广播电视公共服务进行效能监督，对省内广播电视及网络新媒体监测和网络安全管理业务进行指导。</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（四）负责全省广播电视安全播出保障体系的建立，监督、检查并指导各安全播出责任单位的安全播出和信息系统网络安全管理工作。</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（五）组织制定广播电视安全播出和网络安全的应急预案，协调落实防范措施。</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（六）协调重大宣传活动和重要保障期的广播电视安全播出事项。</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（七）在紧急状态下，根据应急预案及上级行政主管部门的部署对所辖地区的广播电视安全播出工作进行统一调配。</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（八）及时向上级主管部门报告广播电视安全播出情况。</w:t>
      </w:r>
    </w:p>
    <w:p>
      <w:pPr>
        <w:widowControl/>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（九）完成上级行政主管部门和调度部门交办的其他任务。</w:t>
      </w:r>
    </w:p>
    <w:p>
      <w:pPr>
        <w:widowControl/>
        <w:spacing w:line="560" w:lineRule="exac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二、机构设置及决算单位构成</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（一）安播中心现有编制19人，实有在编在岗职工17人，退休职工6人。目前中心内设办公室、技术维护科、安全播出管理科、监测信息科共4个科室。</w:t>
      </w:r>
    </w:p>
    <w:p>
      <w:pPr>
        <w:spacing w:line="560" w:lineRule="exact"/>
        <w:ind w:firstLine="640" w:firstLineChars="200"/>
        <w:rPr>
          <w:rFonts w:ascii="Times New Roman" w:hAnsi="Times New Roman" w:eastAsia="仿宋" w:cs="Times New Roman"/>
          <w:bCs/>
          <w:color w:val="auto"/>
          <w:kern w:val="0"/>
          <w:sz w:val="32"/>
          <w:szCs w:val="32"/>
        </w:rPr>
      </w:pPr>
      <w:r>
        <w:rPr>
          <w:rFonts w:ascii="Times New Roman" w:hAnsi="Times New Roman" w:eastAsia="仿宋" w:cs="Times New Roman"/>
          <w:bCs/>
          <w:color w:val="auto"/>
          <w:kern w:val="0"/>
          <w:sz w:val="32"/>
          <w:szCs w:val="32"/>
        </w:rPr>
        <w:t>（二）</w:t>
      </w:r>
      <w:r>
        <w:rPr>
          <w:rFonts w:hint="eastAsia" w:ascii="Times New Roman" w:hAnsi="Times New Roman" w:eastAsia="仿宋" w:cs="Times New Roman"/>
          <w:bCs/>
          <w:color w:val="auto"/>
          <w:kern w:val="0"/>
          <w:sz w:val="32"/>
          <w:szCs w:val="32"/>
        </w:rPr>
        <w:t>湖南省广播电视监测与安全播出调度中心2020年部门决算汇总公开单位构成包括：</w:t>
      </w:r>
      <w:r>
        <w:rPr>
          <w:rFonts w:ascii="Times New Roman" w:hAnsi="Times New Roman" w:eastAsia="仿宋" w:cs="Times New Roman"/>
          <w:bCs/>
          <w:color w:val="auto"/>
          <w:kern w:val="0"/>
          <w:sz w:val="32"/>
          <w:szCs w:val="32"/>
        </w:rPr>
        <w:t>湖南省广播电视监测与安全播出调度中心</w:t>
      </w:r>
      <w:r>
        <w:rPr>
          <w:rFonts w:hint="eastAsia" w:ascii="Times New Roman" w:hAnsi="Times New Roman" w:eastAsia="仿宋" w:cs="Times New Roman"/>
          <w:bCs/>
          <w:color w:val="auto"/>
          <w:kern w:val="0"/>
          <w:sz w:val="32"/>
          <w:szCs w:val="32"/>
        </w:rPr>
        <w:t>本级</w:t>
      </w:r>
      <w:r>
        <w:rPr>
          <w:rFonts w:ascii="Times New Roman" w:hAnsi="Times New Roman" w:eastAsia="仿宋" w:cs="Times New Roman"/>
          <w:bCs/>
          <w:color w:val="auto"/>
          <w:kern w:val="0"/>
          <w:sz w:val="32"/>
          <w:szCs w:val="32"/>
        </w:rPr>
        <w:t>。</w:t>
      </w:r>
    </w:p>
    <w:p>
      <w:pPr>
        <w:spacing w:line="560" w:lineRule="exact"/>
        <w:jc w:val="left"/>
        <w:rPr>
          <w:rFonts w:ascii="Times New Roman" w:hAnsi="Times New Roman" w:eastAsia="仿宋_GB2312" w:cs="Times New Roman"/>
          <w:color w:val="auto"/>
          <w:sz w:val="32"/>
          <w:szCs w:val="32"/>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jc w:val="center"/>
        <w:rPr>
          <w:rFonts w:ascii="Times New Roman" w:hAnsi="Times New Roman" w:eastAsia="黑体" w:cs="Times New Roman"/>
          <w:color w:val="auto"/>
          <w:sz w:val="28"/>
          <w:szCs w:val="28"/>
        </w:rPr>
      </w:pPr>
    </w:p>
    <w:p>
      <w:pPr>
        <w:rPr>
          <w:rFonts w:ascii="Times New Roman" w:hAnsi="Times New Roman" w:cs="Times New Roman"/>
          <w:color w:val="auto"/>
          <w:sz w:val="72"/>
          <w:szCs w:val="72"/>
        </w:rPr>
      </w:pPr>
    </w:p>
    <w:p>
      <w:pPr>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第二部分</w:t>
      </w:r>
    </w:p>
    <w:p>
      <w:pPr>
        <w:jc w:val="center"/>
        <w:rPr>
          <w:rFonts w:ascii="Times New Roman" w:hAnsi="Times New Roman" w:eastAsia="方正粗黑宋简体" w:cs="Times New Roman"/>
          <w:color w:val="auto"/>
          <w:sz w:val="52"/>
          <w:szCs w:val="52"/>
        </w:rPr>
      </w:pPr>
    </w:p>
    <w:p>
      <w:pPr>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部门决算表</w:t>
      </w: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center"/>
        <w:rPr>
          <w:rFonts w:ascii="Times New Roman" w:hAnsi="Times New Roman" w:cs="Times New Roman"/>
          <w:color w:val="auto"/>
          <w:sz w:val="72"/>
          <w:szCs w:val="72"/>
        </w:rPr>
      </w:pPr>
    </w:p>
    <w:p>
      <w:pPr>
        <w:jc w:val="left"/>
        <w:rPr>
          <w:rFonts w:ascii="Times New Roman" w:hAnsi="Times New Roman" w:cs="Times New Roman"/>
          <w:color w:val="auto"/>
          <w:sz w:val="32"/>
          <w:szCs w:val="32"/>
        </w:rPr>
      </w:pPr>
    </w:p>
    <w:p>
      <w:pPr>
        <w:jc w:val="left"/>
        <w:rPr>
          <w:rFonts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xml:space="preserve">部门：湖南省广播电视监测与安全播出调度中心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550.82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489.24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38.80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550.82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528.04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112.78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2"/>
              </w:rPr>
            </w:pPr>
            <w:r>
              <w:rPr>
                <w:rFonts w:ascii="Times New Roman" w:hAnsi="Times New Roman" w:eastAsia="宋体" w:cs="Times New Roman"/>
                <w:b/>
                <w:color w:val="auto"/>
                <w:kern w:val="0"/>
                <w:sz w:val="22"/>
              </w:rPr>
              <w:t>640.82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　                      640.82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注：1.本表反映部门本年度的总收支和年末结转结余情况。</w:t>
            </w:r>
            <w:r>
              <w:rPr>
                <w:rFonts w:ascii="Times New Roman" w:hAnsi="Times New Roman" w:eastAsia="宋体" w:cs="Times New Roman"/>
                <w:color w:val="auto"/>
                <w:kern w:val="0"/>
                <w:sz w:val="24"/>
                <w:szCs w:val="24"/>
              </w:rPr>
              <w:br w:type="textWrapping"/>
            </w:r>
            <w:r>
              <w:rPr>
                <w:rFonts w:ascii="Times New Roman" w:hAnsi="Times New Roman" w:eastAsia="宋体" w:cs="Times New Roman"/>
                <w:color w:val="auto"/>
                <w:kern w:val="0"/>
                <w:sz w:val="24"/>
                <w:szCs w:val="24"/>
              </w:rPr>
              <w:t xml:space="preserve"> 2.本套报表金额单位转换时可能存在尾数误差。</w:t>
            </w:r>
          </w:p>
        </w:tc>
      </w:tr>
    </w:tbl>
    <w:p>
      <w:pPr>
        <w:jc w:val="center"/>
        <w:rPr>
          <w:rFonts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1807"/>
        <w:gridCol w:w="193"/>
        <w:gridCol w:w="1613"/>
        <w:gridCol w:w="2214"/>
        <w:gridCol w:w="1701"/>
        <w:gridCol w:w="1559"/>
        <w:gridCol w:w="1560"/>
        <w:gridCol w:w="1165"/>
        <w:gridCol w:w="1138"/>
        <w:gridCol w:w="1077"/>
        <w:gridCol w:w="1401"/>
      </w:tblGrid>
      <w:tr>
        <w:tblPrEx>
          <w:tblCellMar>
            <w:top w:w="0" w:type="dxa"/>
            <w:left w:w="0" w:type="dxa"/>
            <w:bottom w:w="0" w:type="dxa"/>
            <w:right w:w="0" w:type="dxa"/>
          </w:tblCellMar>
        </w:tblPrEx>
        <w:trPr>
          <w:trHeight w:val="435" w:hRule="atLeast"/>
        </w:trPr>
        <w:tc>
          <w:tcPr>
            <w:tcW w:w="15428" w:type="dxa"/>
            <w:gridSpan w:val="11"/>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Times New Roman" w:hAnsi="Times New Roman" w:eastAsia="华文中宋" w:cs="Times New Roman"/>
                <w:color w:val="auto"/>
                <w:sz w:val="32"/>
                <w:szCs w:val="32"/>
              </w:rPr>
            </w:pPr>
            <w:r>
              <w:rPr>
                <w:rFonts w:ascii="Times New Roman" w:hAnsi="Times New Roman" w:eastAsia="华文中宋" w:cs="Times New Roman"/>
                <w:color w:val="auto"/>
                <w:sz w:val="32"/>
                <w:szCs w:val="32"/>
              </w:rPr>
              <w:t>收入决算表</w:t>
            </w:r>
          </w:p>
        </w:tc>
      </w:tr>
      <w:tr>
        <w:tblPrEx>
          <w:tblCellMar>
            <w:top w:w="0" w:type="dxa"/>
            <w:left w:w="0" w:type="dxa"/>
            <w:bottom w:w="0" w:type="dxa"/>
            <w:right w:w="0" w:type="dxa"/>
          </w:tblCellMar>
        </w:tblPrEx>
        <w:trPr>
          <w:trHeight w:val="285" w:hRule="atLeast"/>
        </w:trPr>
        <w:tc>
          <w:tcPr>
            <w:tcW w:w="18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80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22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5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0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4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公开02表</w:t>
            </w:r>
          </w:p>
        </w:tc>
      </w:tr>
      <w:tr>
        <w:tblPrEx>
          <w:tblCellMar>
            <w:top w:w="0" w:type="dxa"/>
            <w:left w:w="0" w:type="dxa"/>
            <w:bottom w:w="0" w:type="dxa"/>
            <w:right w:w="0" w:type="dxa"/>
          </w:tblCellMar>
        </w:tblPrEx>
        <w:trPr>
          <w:trHeight w:val="285" w:hRule="atLeast"/>
        </w:trPr>
        <w:tc>
          <w:tcPr>
            <w:tcW w:w="361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0"/>
                <w:szCs w:val="20"/>
              </w:rPr>
            </w:pPr>
            <w:r>
              <w:rPr>
                <w:rFonts w:ascii="Times New Roman" w:hAnsi="Times New Roman" w:cs="Times New Roman"/>
                <w:color w:val="auto"/>
                <w:sz w:val="20"/>
                <w:szCs w:val="20"/>
              </w:rPr>
              <w:t>部门：湖南省广播电视监测与安全播出调度中心</w:t>
            </w:r>
          </w:p>
        </w:tc>
        <w:tc>
          <w:tcPr>
            <w:tcW w:w="22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56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0"/>
                <w:szCs w:val="20"/>
              </w:rPr>
            </w:pPr>
            <w:r>
              <w:rPr>
                <w:rFonts w:ascii="Times New Roman" w:hAnsi="Times New Roman" w:cs="Times New Roman"/>
                <w:color w:val="auto"/>
                <w:sz w:val="20"/>
                <w:szCs w:val="20"/>
              </w:rPr>
              <w:t>　</w:t>
            </w:r>
          </w:p>
        </w:tc>
        <w:tc>
          <w:tcPr>
            <w:tcW w:w="11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1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0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　</w:t>
            </w:r>
          </w:p>
        </w:tc>
        <w:tc>
          <w:tcPr>
            <w:tcW w:w="14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Times New Roman"/>
                <w:color w:val="auto"/>
                <w:sz w:val="20"/>
                <w:szCs w:val="20"/>
              </w:rPr>
            </w:pPr>
            <w:r>
              <w:rPr>
                <w:rFonts w:ascii="Times New Roman" w:hAnsi="Times New Roman" w:cs="Times New Roman"/>
                <w:color w:val="auto"/>
                <w:sz w:val="20"/>
                <w:szCs w:val="20"/>
              </w:rPr>
              <w:t>单位：万元</w:t>
            </w:r>
          </w:p>
        </w:tc>
      </w:tr>
      <w:tr>
        <w:tblPrEx>
          <w:tblCellMar>
            <w:top w:w="0" w:type="dxa"/>
            <w:left w:w="0" w:type="dxa"/>
            <w:bottom w:w="0" w:type="dxa"/>
            <w:right w:w="0" w:type="dxa"/>
          </w:tblCellMar>
        </w:tblPrEx>
        <w:trPr>
          <w:trHeight w:val="450" w:hRule="atLeast"/>
        </w:trPr>
        <w:tc>
          <w:tcPr>
            <w:tcW w:w="5827"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项    目</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本年收入合计</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财政拨款收入</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上级补助收入</w:t>
            </w:r>
          </w:p>
        </w:tc>
        <w:tc>
          <w:tcPr>
            <w:tcW w:w="116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事业收入</w:t>
            </w:r>
          </w:p>
        </w:tc>
        <w:tc>
          <w:tcPr>
            <w:tcW w:w="11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经营收入</w:t>
            </w:r>
          </w:p>
        </w:tc>
        <w:tc>
          <w:tcPr>
            <w:tcW w:w="10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附属单位上缴收入</w:t>
            </w:r>
          </w:p>
        </w:tc>
        <w:tc>
          <w:tcPr>
            <w:tcW w:w="14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其他收入</w:t>
            </w:r>
          </w:p>
        </w:tc>
      </w:tr>
      <w:tr>
        <w:tblPrEx>
          <w:tblCellMar>
            <w:top w:w="0" w:type="dxa"/>
            <w:left w:w="0" w:type="dxa"/>
            <w:bottom w:w="0" w:type="dxa"/>
            <w:right w:w="0" w:type="dxa"/>
          </w:tblCellMar>
        </w:tblPrEx>
        <w:trPr>
          <w:trHeight w:val="450" w:hRule="atLeast"/>
        </w:trPr>
        <w:tc>
          <w:tcPr>
            <w:tcW w:w="20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功能分类科目编码</w:t>
            </w:r>
          </w:p>
        </w:tc>
        <w:tc>
          <w:tcPr>
            <w:tcW w:w="3827"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科目名称</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20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3827" w:type="dxa"/>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c>
          <w:tcPr>
            <w:tcW w:w="140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5827"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栏次</w:t>
            </w:r>
          </w:p>
        </w:tc>
        <w:tc>
          <w:tcPr>
            <w:tcW w:w="17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1</w:t>
            </w:r>
          </w:p>
        </w:tc>
        <w:tc>
          <w:tcPr>
            <w:tcW w:w="155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2</w:t>
            </w:r>
          </w:p>
        </w:tc>
        <w:tc>
          <w:tcPr>
            <w:tcW w:w="15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3</w:t>
            </w:r>
          </w:p>
        </w:tc>
        <w:tc>
          <w:tcPr>
            <w:tcW w:w="116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4</w:t>
            </w:r>
          </w:p>
        </w:tc>
        <w:tc>
          <w:tcPr>
            <w:tcW w:w="113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5</w:t>
            </w:r>
          </w:p>
        </w:tc>
        <w:tc>
          <w:tcPr>
            <w:tcW w:w="10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6</w:t>
            </w:r>
          </w:p>
        </w:tc>
        <w:tc>
          <w:tcPr>
            <w:tcW w:w="14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7</w:t>
            </w:r>
          </w:p>
        </w:tc>
      </w:tr>
      <w:tr>
        <w:tblPrEx>
          <w:tblCellMar>
            <w:top w:w="0" w:type="dxa"/>
            <w:left w:w="0" w:type="dxa"/>
            <w:bottom w:w="0" w:type="dxa"/>
            <w:right w:w="0" w:type="dxa"/>
          </w:tblCellMar>
        </w:tblPrEx>
        <w:trPr>
          <w:trHeight w:val="450" w:hRule="atLeast"/>
        </w:trPr>
        <w:tc>
          <w:tcPr>
            <w:tcW w:w="5827"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Times New Roman"/>
                <w:color w:val="auto"/>
                <w:sz w:val="24"/>
                <w:szCs w:val="24"/>
              </w:rPr>
            </w:pPr>
            <w:r>
              <w:rPr>
                <w:rFonts w:ascii="Times New Roman" w:hAnsi="Times New Roman" w:cs="Times New Roman"/>
                <w:color w:val="auto"/>
              </w:rPr>
              <w:t>合计</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550.82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550.82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207</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文化旅游体育与传媒支出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512.02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512.02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20708</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广播电视</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华文中宋" w:cs="Times New Roman"/>
                <w:b/>
                <w:color w:val="auto"/>
                <w:sz w:val="24"/>
                <w:szCs w:val="24"/>
              </w:rPr>
            </w:pPr>
            <w:r>
              <w:rPr>
                <w:rFonts w:ascii="Times New Roman" w:hAnsi="Times New Roman" w:cs="Times New Roman"/>
                <w:b/>
                <w:color w:val="auto"/>
              </w:rPr>
              <w:t>392.02</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392.02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2070899</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其他广播电视支出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392.02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392.02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20799</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其他文化旅游体育与传媒支出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120.00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120.00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2079999</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　其他文化旅游体育与传媒支出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120.00</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120.00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color w:val="auto"/>
                <w:sz w:val="24"/>
                <w:szCs w:val="24"/>
              </w:rPr>
            </w:pPr>
            <w:r>
              <w:rPr>
                <w:rFonts w:ascii="Times New Roman" w:hAnsi="Times New Roman" w:cs="Times New Roman"/>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208</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eastAsia="宋体" w:cs="Times New Roman"/>
                <w:b/>
                <w:color w:val="auto"/>
                <w:sz w:val="24"/>
                <w:szCs w:val="24"/>
              </w:rPr>
            </w:pPr>
            <w:r>
              <w:rPr>
                <w:rFonts w:ascii="Times New Roman" w:hAnsi="Times New Roman" w:cs="Times New Roman"/>
                <w:b/>
                <w:color w:val="auto"/>
              </w:rPr>
              <w:t>　社会保障和就业支出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38.80　</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38.80　</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Times New Roman"/>
                <w:b/>
                <w:color w:val="auto"/>
                <w:sz w:val="24"/>
                <w:szCs w:val="24"/>
              </w:rPr>
            </w:pPr>
            <w:r>
              <w:rPr>
                <w:rFonts w:ascii="Times New Roman" w:hAnsi="Times New Roman" w:cs="Times New Roman"/>
                <w:b/>
                <w:color w:val="auto"/>
              </w:rPr>
              <w:t>0.00　</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b/>
                <w:color w:val="auto"/>
              </w:rPr>
            </w:pPr>
            <w:r>
              <w:rPr>
                <w:rFonts w:ascii="Times New Roman" w:hAnsi="Times New Roman" w:cs="Times New Roman"/>
                <w:b/>
                <w:color w:val="auto"/>
              </w:rPr>
              <w:t>20805</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b/>
                <w:color w:val="auto"/>
              </w:rPr>
            </w:pPr>
            <w:r>
              <w:rPr>
                <w:rFonts w:ascii="Times New Roman" w:hAnsi="Times New Roman" w:cs="Times New Roman"/>
                <w:b/>
                <w:color w:val="auto"/>
              </w:rPr>
              <w:t>行政事业单位养老支出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38.80</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38.80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0.00</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0.00</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0.00</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0.00</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b/>
                <w:color w:val="auto"/>
              </w:rPr>
            </w:pPr>
            <w:r>
              <w:rPr>
                <w:rFonts w:ascii="Times New Roman" w:hAnsi="Times New Roman" w:cs="Times New Roman"/>
                <w:b/>
                <w:color w:val="auto"/>
              </w:rPr>
              <w:t>0.00</w:t>
            </w:r>
          </w:p>
        </w:tc>
      </w:tr>
      <w:tr>
        <w:tblPrEx>
          <w:tblCellMar>
            <w:top w:w="0" w:type="dxa"/>
            <w:left w:w="0" w:type="dxa"/>
            <w:bottom w:w="0" w:type="dxa"/>
            <w:right w:w="0" w:type="dxa"/>
          </w:tblCellMar>
        </w:tblPrEx>
        <w:trPr>
          <w:trHeight w:val="450" w:hRule="atLeast"/>
        </w:trPr>
        <w:tc>
          <w:tcPr>
            <w:tcW w:w="2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2080505</w:t>
            </w:r>
          </w:p>
        </w:tc>
        <w:tc>
          <w:tcPr>
            <w:tcW w:w="38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Times New Roman" w:hAnsi="Times New Roman" w:cs="Times New Roman"/>
                <w:color w:val="auto"/>
              </w:rPr>
            </w:pPr>
            <w:r>
              <w:rPr>
                <w:rFonts w:ascii="Times New Roman" w:hAnsi="Times New Roman" w:cs="Times New Roman"/>
                <w:color w:val="auto"/>
              </w:rPr>
              <w:t>机关事业单位基本养老保险缴费支出</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38.80</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38.80</w:t>
            </w:r>
          </w:p>
        </w:tc>
        <w:tc>
          <w:tcPr>
            <w:tcW w:w="15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13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0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c>
          <w:tcPr>
            <w:tcW w:w="14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cs="Times New Roman"/>
                <w:color w:val="auto"/>
              </w:rPr>
            </w:pPr>
            <w:r>
              <w:rPr>
                <w:rFonts w:ascii="Times New Roman" w:hAnsi="Times New Roman" w:cs="Times New Roman"/>
                <w:color w:val="auto"/>
              </w:rPr>
              <w:t>0.00</w:t>
            </w:r>
          </w:p>
        </w:tc>
      </w:tr>
      <w:tr>
        <w:tblPrEx>
          <w:tblCellMar>
            <w:top w:w="0" w:type="dxa"/>
            <w:left w:w="0" w:type="dxa"/>
            <w:bottom w:w="0" w:type="dxa"/>
            <w:right w:w="0" w:type="dxa"/>
          </w:tblCellMar>
        </w:tblPrEx>
        <w:trPr>
          <w:trHeight w:val="615" w:hRule="atLeast"/>
        </w:trPr>
        <w:tc>
          <w:tcPr>
            <w:tcW w:w="15428" w:type="dxa"/>
            <w:gridSpan w:val="11"/>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Times New Roman"/>
                <w:color w:val="auto"/>
                <w:sz w:val="24"/>
                <w:szCs w:val="24"/>
              </w:rPr>
            </w:pPr>
            <w:r>
              <w:rPr>
                <w:rFonts w:ascii="Times New Roman" w:hAnsi="Times New Roman" w:cs="Times New Roman"/>
                <w:color w:val="auto"/>
              </w:rPr>
              <w:t>注：本表反映部门本年度取得的各项收入情况。</w:t>
            </w:r>
          </w:p>
        </w:tc>
      </w:tr>
    </w:tbl>
    <w:p>
      <w:pPr>
        <w:widowControl/>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 </w:t>
      </w:r>
      <w:r>
        <w:rPr>
          <w:rFonts w:ascii="Times New Roman" w:hAnsi="Times New Roman" w:eastAsia="黑体" w:cs="Times New Roman"/>
          <w:bCs/>
          <w:color w:val="auto"/>
          <w:kern w:val="0"/>
          <w:sz w:val="32"/>
          <w:szCs w:val="32"/>
        </w:rPr>
        <w:br w:type="page"/>
      </w:r>
    </w:p>
    <w:p>
      <w:pPr>
        <w:widowControl/>
        <w:rPr>
          <w:rFonts w:ascii="Times New Roman" w:hAnsi="Times New Roman" w:eastAsia="方正小标宋_GBK" w:cs="Times New Roman"/>
          <w:color w:val="auto"/>
          <w:kern w:val="0"/>
          <w:sz w:val="36"/>
          <w:szCs w:val="36"/>
        </w:rPr>
      </w:pPr>
    </w:p>
    <w:tbl>
      <w:tblPr>
        <w:tblStyle w:val="7"/>
        <w:tblW w:w="15650" w:type="dxa"/>
        <w:tblInd w:w="93" w:type="dxa"/>
        <w:tblLayout w:type="fixed"/>
        <w:tblCellMar>
          <w:top w:w="0" w:type="dxa"/>
          <w:left w:w="108" w:type="dxa"/>
          <w:bottom w:w="0" w:type="dxa"/>
          <w:right w:w="108" w:type="dxa"/>
        </w:tblCellMar>
      </w:tblPr>
      <w:tblGrid>
        <w:gridCol w:w="866"/>
        <w:gridCol w:w="2835"/>
        <w:gridCol w:w="187"/>
        <w:gridCol w:w="236"/>
        <w:gridCol w:w="2695"/>
        <w:gridCol w:w="564"/>
        <w:gridCol w:w="854"/>
        <w:gridCol w:w="422"/>
        <w:gridCol w:w="995"/>
        <w:gridCol w:w="564"/>
        <w:gridCol w:w="142"/>
        <w:gridCol w:w="712"/>
        <w:gridCol w:w="564"/>
        <w:gridCol w:w="853"/>
        <w:gridCol w:w="706"/>
        <w:gridCol w:w="712"/>
        <w:gridCol w:w="407"/>
        <w:gridCol w:w="872"/>
        <w:gridCol w:w="138"/>
        <w:gridCol w:w="326"/>
      </w:tblGrid>
      <w:tr>
        <w:tblPrEx>
          <w:tblCellMar>
            <w:top w:w="0" w:type="dxa"/>
            <w:left w:w="108" w:type="dxa"/>
            <w:bottom w:w="0" w:type="dxa"/>
            <w:right w:w="108" w:type="dxa"/>
          </w:tblCellMar>
        </w:tblPrEx>
        <w:trPr>
          <w:gridAfter w:val="1"/>
          <w:wAfter w:w="326" w:type="dxa"/>
          <w:trHeight w:val="435" w:hRule="atLeast"/>
        </w:trPr>
        <w:tc>
          <w:tcPr>
            <w:tcW w:w="15324" w:type="dxa"/>
            <w:gridSpan w:val="19"/>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支出决算表</w:t>
            </w:r>
          </w:p>
        </w:tc>
      </w:tr>
      <w:tr>
        <w:tblPrEx>
          <w:tblCellMar>
            <w:top w:w="0" w:type="dxa"/>
            <w:left w:w="108" w:type="dxa"/>
            <w:bottom w:w="0" w:type="dxa"/>
            <w:right w:w="108" w:type="dxa"/>
          </w:tblCellMar>
        </w:tblPrEx>
        <w:trPr>
          <w:gridAfter w:val="2"/>
          <w:wAfter w:w="464" w:type="dxa"/>
          <w:trHeight w:val="285" w:hRule="atLeast"/>
        </w:trPr>
        <w:tc>
          <w:tcPr>
            <w:tcW w:w="3888"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3259"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276"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59"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418"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59"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p>
        </w:tc>
        <w:tc>
          <w:tcPr>
            <w:tcW w:w="1119"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0"/>
                <w:szCs w:val="20"/>
              </w:rPr>
              <w:t>公开03表</w:t>
            </w:r>
          </w:p>
        </w:tc>
        <w:tc>
          <w:tcPr>
            <w:tcW w:w="872"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p>
        </w:tc>
      </w:tr>
      <w:tr>
        <w:tblPrEx>
          <w:tblCellMar>
            <w:top w:w="0" w:type="dxa"/>
            <w:left w:w="108" w:type="dxa"/>
            <w:bottom w:w="0" w:type="dxa"/>
            <w:right w:w="108" w:type="dxa"/>
          </w:tblCellMar>
        </w:tblPrEx>
        <w:trPr>
          <w:trHeight w:val="285" w:hRule="atLeast"/>
        </w:trPr>
        <w:tc>
          <w:tcPr>
            <w:tcW w:w="3888" w:type="dxa"/>
            <w:gridSpan w:val="3"/>
            <w:tcBorders>
              <w:top w:val="nil"/>
              <w:left w:val="nil"/>
              <w:bottom w:val="nil"/>
              <w:right w:val="nil"/>
            </w:tcBorders>
            <w:shd w:val="clear" w:color="000000" w:fill="FFFFFF"/>
            <w:noWrap/>
            <w:vAlign w:val="center"/>
          </w:tcPr>
          <w:p>
            <w:pPr>
              <w:pStyle w:val="6"/>
              <w:ind w:right="-674" w:rightChars="-321"/>
              <w:jc w:val="left"/>
              <w:rPr>
                <w:rFonts w:ascii="Times New Roman" w:hAnsi="Times New Roman" w:cs="Times New Roman"/>
                <w:color w:val="auto"/>
              </w:rPr>
            </w:pPr>
            <w:r>
              <w:rPr>
                <w:rFonts w:ascii="Times New Roman" w:hAnsi="Times New Roman" w:cs="Times New Roman"/>
                <w:color w:val="auto"/>
              </w:rPr>
              <w:t>部门：湖南省广播电视监测与安全播出调度中心</w:t>
            </w:r>
          </w:p>
        </w:tc>
        <w:tc>
          <w:tcPr>
            <w:tcW w:w="6472" w:type="dxa"/>
            <w:gridSpan w:val="8"/>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　</w:t>
            </w:r>
          </w:p>
        </w:tc>
        <w:tc>
          <w:tcPr>
            <w:tcW w:w="2835" w:type="dxa"/>
            <w:gridSpan w:val="4"/>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highlight w:val="yellow"/>
              </w:rPr>
            </w:pPr>
          </w:p>
        </w:tc>
        <w:tc>
          <w:tcPr>
            <w:tcW w:w="1119"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0"/>
                <w:szCs w:val="20"/>
              </w:rPr>
              <w:t>单位：万元</w:t>
            </w:r>
          </w:p>
        </w:tc>
        <w:tc>
          <w:tcPr>
            <w:tcW w:w="133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p>
        </w:tc>
      </w:tr>
      <w:tr>
        <w:tblPrEx>
          <w:tblCellMar>
            <w:top w:w="0" w:type="dxa"/>
            <w:left w:w="108" w:type="dxa"/>
            <w:bottom w:w="0" w:type="dxa"/>
            <w:right w:w="108" w:type="dxa"/>
          </w:tblCellMar>
        </w:tblPrEx>
        <w:trPr>
          <w:gridAfter w:val="1"/>
          <w:wAfter w:w="326" w:type="dxa"/>
          <w:trHeight w:val="450" w:hRule="atLeast"/>
        </w:trPr>
        <w:tc>
          <w:tcPr>
            <w:tcW w:w="681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本年支出合计</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基本支出</w:t>
            </w:r>
          </w:p>
        </w:tc>
        <w:tc>
          <w:tcPr>
            <w:tcW w:w="141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项目支出</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上缴上级支出</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经营支出</w:t>
            </w:r>
          </w:p>
        </w:tc>
        <w:tc>
          <w:tcPr>
            <w:tcW w:w="1417"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对附属单位补助支出</w:t>
            </w:r>
          </w:p>
        </w:tc>
      </w:tr>
      <w:tr>
        <w:tblPrEx>
          <w:tblCellMar>
            <w:top w:w="0" w:type="dxa"/>
            <w:left w:w="108" w:type="dxa"/>
            <w:bottom w:w="0" w:type="dxa"/>
            <w:right w:w="108" w:type="dxa"/>
          </w:tblCellMar>
        </w:tblPrEx>
        <w:trPr>
          <w:gridAfter w:val="1"/>
          <w:wAfter w:w="326" w:type="dxa"/>
          <w:trHeight w:val="450" w:hRule="atLeast"/>
        </w:trPr>
        <w:tc>
          <w:tcPr>
            <w:tcW w:w="86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功能分类科目编码</w:t>
            </w:r>
          </w:p>
        </w:tc>
        <w:tc>
          <w:tcPr>
            <w:tcW w:w="5953"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科目名称</w:t>
            </w: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rPr>
          <w:gridAfter w:val="1"/>
          <w:wAfter w:w="326" w:type="dxa"/>
          <w:trHeight w:val="45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5953"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gridAfter w:val="1"/>
          <w:wAfter w:w="326" w:type="dxa"/>
          <w:trHeight w:val="450" w:hRule="atLeast"/>
        </w:trPr>
        <w:tc>
          <w:tcPr>
            <w:tcW w:w="681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栏次</w:t>
            </w:r>
          </w:p>
        </w:tc>
        <w:tc>
          <w:tcPr>
            <w:tcW w:w="14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141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c>
          <w:tcPr>
            <w:tcW w:w="141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w:t>
            </w:r>
          </w:p>
        </w:tc>
        <w:tc>
          <w:tcPr>
            <w:tcW w:w="14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w:t>
            </w:r>
          </w:p>
        </w:tc>
        <w:tc>
          <w:tcPr>
            <w:tcW w:w="141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w:t>
            </w:r>
          </w:p>
        </w:tc>
      </w:tr>
      <w:tr>
        <w:tblPrEx>
          <w:tblCellMar>
            <w:top w:w="0" w:type="dxa"/>
            <w:left w:w="108" w:type="dxa"/>
            <w:bottom w:w="0" w:type="dxa"/>
            <w:right w:w="108" w:type="dxa"/>
          </w:tblCellMar>
        </w:tblPrEx>
        <w:trPr>
          <w:gridAfter w:val="1"/>
          <w:wAfter w:w="326" w:type="dxa"/>
          <w:trHeight w:val="450" w:hRule="atLeast"/>
        </w:trPr>
        <w:tc>
          <w:tcPr>
            <w:tcW w:w="681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528.04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251.04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277.01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207</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文化旅游体育与传媒支出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489.24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212.24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277.01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20708</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广播电视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374.56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212.24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162.33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2070899</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其他广播电视支出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374.56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212.24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162.33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20799</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其他文化旅游体育与传媒支出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114.68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114.68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　2079999</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其他文化旅游体育与传媒支出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114.68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114.68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208</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　社会保障和就业支出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38.80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38.80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　</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20805</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b/>
                <w:color w:val="auto"/>
                <w:kern w:val="0"/>
                <w:sz w:val="18"/>
                <w:szCs w:val="18"/>
              </w:rPr>
            </w:pPr>
            <w:r>
              <w:rPr>
                <w:rFonts w:ascii="Times New Roman" w:hAnsi="Times New Roman" w:eastAsia="宋体" w:cs="Times New Roman"/>
                <w:b/>
                <w:color w:val="auto"/>
                <w:kern w:val="0"/>
                <w:sz w:val="18"/>
                <w:szCs w:val="18"/>
              </w:rPr>
              <w:t>行政事业单位养老支出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38.80</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38.80</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0.00</w:t>
            </w:r>
          </w:p>
        </w:tc>
      </w:tr>
      <w:tr>
        <w:tblPrEx>
          <w:tblCellMar>
            <w:top w:w="0" w:type="dxa"/>
            <w:left w:w="108" w:type="dxa"/>
            <w:bottom w:w="0" w:type="dxa"/>
            <w:right w:w="108" w:type="dxa"/>
          </w:tblCellMar>
        </w:tblPrEx>
        <w:trPr>
          <w:gridAfter w:val="1"/>
          <w:wAfter w:w="326" w:type="dxa"/>
          <w:trHeight w:val="450" w:hRule="atLeast"/>
        </w:trPr>
        <w:tc>
          <w:tcPr>
            <w:tcW w:w="37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2080505</w:t>
            </w:r>
          </w:p>
        </w:tc>
        <w:tc>
          <w:tcPr>
            <w:tcW w:w="311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机关事业单位基本养老保险缴费支出</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38.80</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38.80</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c>
          <w:tcPr>
            <w:tcW w:w="141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0.00</w:t>
            </w:r>
          </w:p>
        </w:tc>
      </w:tr>
      <w:tr>
        <w:trPr>
          <w:gridAfter w:val="1"/>
          <w:wAfter w:w="326" w:type="dxa"/>
          <w:trHeight w:val="630" w:hRule="atLeast"/>
        </w:trPr>
        <w:tc>
          <w:tcPr>
            <w:tcW w:w="15324" w:type="dxa"/>
            <w:gridSpan w:val="1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auto"/>
          <w:kern w:val="0"/>
          <w:sz w:val="36"/>
          <w:szCs w:val="21"/>
        </w:rPr>
      </w:pPr>
    </w:p>
    <w:p>
      <w:pPr>
        <w:widowControl/>
        <w:rPr>
          <w:rFonts w:ascii="Times New Roman" w:hAnsi="Times New Roman" w:eastAsia="方正小标宋_GBK" w:cs="Times New Roman"/>
          <w:color w:val="auto"/>
          <w:kern w:val="0"/>
          <w:sz w:val="36"/>
          <w:szCs w:val="21"/>
        </w:rPr>
      </w:pPr>
    </w:p>
    <w:tbl>
      <w:tblPr>
        <w:tblStyle w:val="7"/>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Times New Roman" w:hAnsi="Times New Roman" w:eastAsia="黑体" w:cs="Times New Roman"/>
                <w:color w:val="auto"/>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部门：湖南省广播电视监测与安全播出调度中心</w:t>
            </w:r>
          </w:p>
        </w:tc>
        <w:tc>
          <w:tcPr>
            <w:tcW w:w="436"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550.82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489.24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489.24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38.80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38.80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550.82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528.04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528.04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112.78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112.78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90.00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b/>
                <w:color w:val="auto"/>
                <w:kern w:val="0"/>
                <w:sz w:val="22"/>
              </w:rPr>
            </w:pPr>
            <w:r>
              <w:rPr>
                <w:rFonts w:ascii="Times New Roman" w:hAnsi="Times New Roman" w:eastAsia="宋体" w:cs="Times New Roman"/>
                <w:b/>
                <w:color w:val="auto"/>
                <w:kern w:val="0"/>
                <w:sz w:val="22"/>
              </w:rPr>
              <w:t>640.82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b/>
                <w:color w:val="auto"/>
                <w:kern w:val="0"/>
                <w:sz w:val="22"/>
              </w:rPr>
            </w:pPr>
            <w:r>
              <w:rPr>
                <w:rFonts w:ascii="Times New Roman" w:hAnsi="Times New Roman" w:eastAsia="宋体" w:cs="Times New Roman"/>
                <w:b/>
                <w:color w:val="auto"/>
                <w:kern w:val="0"/>
                <w:sz w:val="22"/>
              </w:rPr>
              <w:t>640.82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Times New Roman"/>
                <w:b/>
                <w:color w:val="auto"/>
                <w:kern w:val="0"/>
                <w:sz w:val="22"/>
              </w:rPr>
            </w:pPr>
            <w:r>
              <w:rPr>
                <w:rFonts w:ascii="Times New Roman" w:hAnsi="Times New Roman" w:eastAsia="宋体" w:cs="Times New Roman"/>
                <w:color w:val="auto"/>
                <w:kern w:val="0"/>
                <w:sz w:val="22"/>
              </w:rPr>
              <w:t>　</w:t>
            </w:r>
            <w:r>
              <w:rPr>
                <w:rFonts w:ascii="Times New Roman" w:hAnsi="Times New Roman" w:eastAsia="宋体" w:cs="Times New Roman"/>
                <w:b/>
                <w:color w:val="auto"/>
                <w:kern w:val="0"/>
                <w:sz w:val="22"/>
              </w:rPr>
              <w:t>640.82</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b/>
                <w:bCs/>
                <w:color w:val="auto"/>
                <w:kern w:val="0"/>
                <w:sz w:val="22"/>
              </w:rPr>
            </w:pPr>
            <w:r>
              <w:rPr>
                <w:rFonts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ind w:left="12810" w:hanging="12810" w:hangingChars="610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部门：湖南省广播电视监测与安全播出调度中心                                                                                                               公开05表</w:t>
      </w:r>
    </w:p>
    <w:p>
      <w:pPr>
        <w:widowControl/>
        <w:jc w:val="left"/>
        <w:rPr>
          <w:rFonts w:ascii="Times New Roman" w:hAnsi="Times New Roman" w:eastAsia="宋体" w:cs="Times New Roman"/>
          <w:color w:val="auto"/>
          <w:kern w:val="0"/>
          <w:sz w:val="20"/>
          <w:szCs w:val="20"/>
        </w:rPr>
      </w:pPr>
      <w:r>
        <w:rPr>
          <w:rFonts w:ascii="Times New Roman" w:hAnsi="Times New Roman" w:eastAsia="仿宋_GB2312" w:cs="Times New Roman"/>
          <w:color w:val="auto"/>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740"/>
        <w:gridCol w:w="2787"/>
        <w:gridCol w:w="3492"/>
        <w:gridCol w:w="3000"/>
      </w:tblGrid>
      <w:tr>
        <w:tblPrEx>
          <w:tblCellMar>
            <w:top w:w="0" w:type="dxa"/>
            <w:left w:w="108" w:type="dxa"/>
            <w:bottom w:w="0" w:type="dxa"/>
            <w:right w:w="108" w:type="dxa"/>
          </w:tblCellMar>
        </w:tblPrEx>
        <w:trPr>
          <w:trHeight w:val="473" w:hRule="atLeast"/>
          <w:jc w:val="center"/>
        </w:trPr>
        <w:tc>
          <w:tcPr>
            <w:tcW w:w="4940"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927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3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7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7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7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49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7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r>
      <w:tr>
        <w:tblPrEx>
          <w:tblCellMar>
            <w:top w:w="0" w:type="dxa"/>
            <w:left w:w="108" w:type="dxa"/>
            <w:bottom w:w="0" w:type="dxa"/>
            <w:right w:w="108" w:type="dxa"/>
          </w:tblCellMar>
        </w:tblPrEx>
        <w:trPr>
          <w:trHeight w:val="450" w:hRule="atLeast"/>
          <w:jc w:val="center"/>
        </w:trPr>
        <w:tc>
          <w:tcPr>
            <w:tcW w:w="494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          528.04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251.04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277.01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207　</w:t>
            </w:r>
          </w:p>
        </w:tc>
        <w:tc>
          <w:tcPr>
            <w:tcW w:w="3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文化旅游体育与传媒支出</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489.24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212.24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277.01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20708　</w:t>
            </w:r>
          </w:p>
        </w:tc>
        <w:tc>
          <w:tcPr>
            <w:tcW w:w="3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广播电视</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374.56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212.24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162.33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2070899　</w:t>
            </w:r>
          </w:p>
        </w:tc>
        <w:tc>
          <w:tcPr>
            <w:tcW w:w="3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其他广播电视支出</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374.56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212.24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162.33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20799</w:t>
            </w:r>
          </w:p>
        </w:tc>
        <w:tc>
          <w:tcPr>
            <w:tcW w:w="3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其他文化旅游体育与传媒支出</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114.68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114.68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2079999　</w:t>
            </w:r>
          </w:p>
        </w:tc>
        <w:tc>
          <w:tcPr>
            <w:tcW w:w="3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其他文化旅游体育与传媒支出</w:t>
            </w:r>
          </w:p>
        </w:tc>
        <w:tc>
          <w:tcPr>
            <w:tcW w:w="278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114.68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114.68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208　</w:t>
            </w:r>
          </w:p>
        </w:tc>
        <w:tc>
          <w:tcPr>
            <w:tcW w:w="374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社会保障和就业支出</w:t>
            </w:r>
          </w:p>
        </w:tc>
        <w:tc>
          <w:tcPr>
            <w:tcW w:w="2787"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38.80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38.80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20805</w:t>
            </w:r>
          </w:p>
        </w:tc>
        <w:tc>
          <w:tcPr>
            <w:tcW w:w="374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行政事业单位养老支出</w:t>
            </w:r>
          </w:p>
        </w:tc>
        <w:tc>
          <w:tcPr>
            <w:tcW w:w="2787"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38.80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38.80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2080505</w:t>
            </w:r>
          </w:p>
        </w:tc>
        <w:tc>
          <w:tcPr>
            <w:tcW w:w="374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机关事业单位基本养老保险缴费支出</w:t>
            </w:r>
          </w:p>
        </w:tc>
        <w:tc>
          <w:tcPr>
            <w:tcW w:w="2787"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38.80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38.80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rPr>
      </w:pP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br w:type="page"/>
      </w:r>
    </w:p>
    <w:tbl>
      <w:tblPr>
        <w:tblStyle w:val="7"/>
        <w:tblW w:w="0" w:type="auto"/>
        <w:tblInd w:w="0" w:type="dxa"/>
        <w:tblLayout w:type="fixed"/>
        <w:tblCellMar>
          <w:top w:w="0" w:type="dxa"/>
          <w:left w:w="108" w:type="dxa"/>
          <w:bottom w:w="0" w:type="dxa"/>
          <w:right w:w="108" w:type="dxa"/>
        </w:tblCellMar>
      </w:tblPr>
      <w:tblGrid>
        <w:gridCol w:w="1197"/>
        <w:gridCol w:w="2974"/>
        <w:gridCol w:w="2033"/>
        <w:gridCol w:w="882"/>
        <w:gridCol w:w="2055"/>
        <w:gridCol w:w="1135"/>
        <w:gridCol w:w="878"/>
        <w:gridCol w:w="3508"/>
        <w:gridCol w:w="952"/>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single" w:color="auto" w:sz="4" w:space="0"/>
              <w:right w:val="nil"/>
            </w:tcBorders>
            <w:shd w:val="clear" w:color="auto" w:fill="auto"/>
            <w:noWrap/>
            <w:vAlign w:val="center"/>
          </w:tcPr>
          <w:p>
            <w:pPr>
              <w:widowControl/>
              <w:ind w:firstLine="5250" w:firstLineChars="2500"/>
              <w:rPr>
                <w:rFonts w:ascii="Times New Roman" w:hAnsi="Times New Roman" w:eastAsia="华文中宋" w:cs="Times New Roman"/>
                <w:color w:val="auto"/>
                <w:kern w:val="0"/>
                <w:szCs w:val="32"/>
              </w:rPr>
            </w:pPr>
            <w:bookmarkStart w:id="2" w:name="RANGE!A1:I34"/>
            <w:r>
              <w:rPr>
                <w:rFonts w:ascii="Times New Roman" w:hAnsi="Times New Roman" w:eastAsia="华文中宋" w:cs="Times New Roman"/>
                <w:color w:val="auto"/>
                <w:kern w:val="0"/>
                <w:szCs w:val="32"/>
              </w:rPr>
              <w:t>一般公共预算财政拨款基本支出决算表</w:t>
            </w:r>
            <w:bookmarkEnd w:id="2"/>
          </w:p>
          <w:p>
            <w:pPr>
              <w:widowControl/>
              <w:ind w:right="42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部门：湖南省广播电视监测与安全播出调度中心                                                                                         公开06表</w:t>
            </w:r>
          </w:p>
          <w:p>
            <w:pPr>
              <w:widowControl/>
              <w:jc w:val="right"/>
              <w:rPr>
                <w:rFonts w:ascii="Times New Roman" w:hAnsi="Times New Roman" w:eastAsia="华文中宋" w:cs="Times New Roman"/>
                <w:color w:val="auto"/>
                <w:kern w:val="0"/>
                <w:szCs w:val="32"/>
              </w:rPr>
            </w:pPr>
            <w:r>
              <w:rPr>
                <w:rFonts w:ascii="Times New Roman" w:hAnsi="Times New Roman" w:eastAsia="仿宋_GB2312" w:cs="Times New Roman"/>
                <w:color w:val="auto"/>
                <w:kern w:val="0"/>
                <w:szCs w:val="21"/>
              </w:rPr>
              <w:t>单位：万元</w:t>
            </w:r>
          </w:p>
        </w:tc>
      </w:tr>
      <w:tr>
        <w:tblPrEx>
          <w:tblCellMar>
            <w:top w:w="0" w:type="dxa"/>
            <w:left w:w="108" w:type="dxa"/>
            <w:bottom w:w="0" w:type="dxa"/>
            <w:right w:w="108" w:type="dxa"/>
          </w:tblCellMar>
        </w:tblPrEx>
        <w:trPr>
          <w:trHeight w:val="871" w:hRule="atLeast"/>
        </w:trPr>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 w:val="20"/>
                <w:szCs w:val="20"/>
              </w:rPr>
              <w:t>经济分类科目编码</w:t>
            </w:r>
          </w:p>
        </w:tc>
        <w:tc>
          <w:tcPr>
            <w:tcW w:w="2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2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c>
          <w:tcPr>
            <w:tcW w:w="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经济分类科目编码</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经济分类科目编码</w:t>
            </w:r>
          </w:p>
        </w:tc>
        <w:tc>
          <w:tcPr>
            <w:tcW w:w="3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科目名称</w:t>
            </w:r>
          </w:p>
        </w:tc>
        <w:tc>
          <w:tcPr>
            <w:tcW w:w="9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决算数</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工资福利支出</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204.57</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商品和服务支出</w:t>
            </w:r>
          </w:p>
          <w:p>
            <w:pPr>
              <w:widowControl/>
              <w:jc w:val="left"/>
              <w:rPr>
                <w:rFonts w:ascii="Times New Roman" w:hAnsi="Times New Roman" w:eastAsia="宋体" w:cs="Times New Roman"/>
                <w:color w:val="auto"/>
                <w:kern w:val="0"/>
                <w:szCs w:val="20"/>
              </w:rPr>
            </w:pPr>
          </w:p>
          <w:p>
            <w:pPr>
              <w:widowControl/>
              <w:jc w:val="left"/>
              <w:rPr>
                <w:rFonts w:ascii="Times New Roman" w:hAnsi="Times New Roman" w:eastAsia="宋体" w:cs="Times New Roman"/>
                <w:color w:val="auto"/>
                <w:kern w:val="0"/>
                <w:szCs w:val="20"/>
              </w:rPr>
            </w:pP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33.98</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债务利息及费用支出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30101</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基本工资</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57.75</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30201</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办公费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2.28</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30701</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国内债务付息</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30102</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津贴补贴</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10.51</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30202</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印刷费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1.82</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30702</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国外债务付息</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30103</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奖金</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19.22</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30203</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咨询费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资本性支出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30106</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伙食补助费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30204</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手续费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31001</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房屋建筑物购建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30107</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绩效工资</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63.24</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30205</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水费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31002</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办公设备购置</w:t>
            </w:r>
          </w:p>
        </w:tc>
        <w:tc>
          <w:tcPr>
            <w:tcW w:w="952"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30108</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机关事业单位基本养老保险缴费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18.12</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30206</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电费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31003</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专用设备购置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30109</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职业年金缴费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30207</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邮电费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0.8</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31005</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基础设施建设</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30110</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职工基本医疗保险缴费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10.68</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30208</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取暖费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31006</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大型修缮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30111</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公务员医疗补助缴费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30209</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物业管理费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31007</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信息网络及软件购置更新</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30112</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其他社会保障缴费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7.78</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30211</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差旅费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2.76</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31008</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物资储备</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30113</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住房公积金</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17.28</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30212</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因公出国（境）费用</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31009</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土地补偿</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30114</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医疗费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30213</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维修（护）费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4.88</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31010</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安置补助</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30199</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其他工资福利支出</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30214</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租赁费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31011</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地上附着物和青苗补偿</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对个人和家庭的补助</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12.49</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30215</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会议费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31012</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拆迁补偿</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30301</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离休费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30216</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培训费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1.57</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31013</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公务用车购置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30302</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退休费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8.50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30217</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公务接待费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0.13</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31019</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其他交通工具购置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30303</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退职（役）费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30218</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专用材料费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31021</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文物和陈列品购置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30304</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抚恤金</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30224</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被装购置费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31022</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无形资产购置</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30305</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生活补助</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30225</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专用燃料费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31099</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其他资本性支出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30306</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救济费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30226</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劳务费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1.8</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其他支出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30307</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医疗费补助</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30227</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委托业务费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39906</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赠与</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30308</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助学金</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30228</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工会经费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9.5</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39907</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国家赔偿费用支出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30309</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奖励金</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1.84</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30229</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福利费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hint="eastAsia" w:ascii="Times New Roman" w:hAnsi="Times New Roman" w:eastAsia="宋体" w:cs="Times New Roman"/>
                <w:color w:val="auto"/>
                <w:kern w:val="0"/>
                <w:szCs w:val="20"/>
              </w:rPr>
              <w:t>0.00</w:t>
            </w:r>
            <w:r>
              <w:rPr>
                <w:rFonts w:ascii="Times New Roman" w:hAnsi="Times New Roman" w:eastAsia="宋体" w:cs="Times New Roman"/>
                <w:color w:val="auto"/>
                <w:kern w:val="0"/>
                <w:szCs w:val="20"/>
              </w:rPr>
              <w:t>　0.000.00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39908</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对民间非营利组织和群众性自治组织补贴</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30310</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个人农业生产补贴</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30231</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公务用车运行维护费</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4.5</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39999</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其他支出</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30311</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代缴社会保险费</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30239</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其他交通费用</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3.81</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30399</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其他对个人和家庭的补助</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2.16</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30240</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税金及附加费用</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1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c>
          <w:tcPr>
            <w:tcW w:w="297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0.00</w:t>
            </w:r>
          </w:p>
        </w:tc>
        <w:tc>
          <w:tcPr>
            <w:tcW w:w="8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30299</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其他商品和服务支出</w:t>
            </w:r>
          </w:p>
        </w:tc>
        <w:tc>
          <w:tcPr>
            <w:tcW w:w="113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0.13</w:t>
            </w:r>
          </w:p>
        </w:tc>
        <w:tc>
          <w:tcPr>
            <w:tcW w:w="8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35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　</w:t>
            </w:r>
          </w:p>
        </w:tc>
        <w:tc>
          <w:tcPr>
            <w:tcW w:w="95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41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人员经费合计</w:t>
            </w:r>
          </w:p>
        </w:tc>
        <w:tc>
          <w:tcPr>
            <w:tcW w:w="203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 xml:space="preserve">  217.06</w:t>
            </w:r>
          </w:p>
        </w:tc>
        <w:tc>
          <w:tcPr>
            <w:tcW w:w="845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公用经费合计</w:t>
            </w:r>
          </w:p>
        </w:tc>
        <w:tc>
          <w:tcPr>
            <w:tcW w:w="952"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宋体" w:cs="Times New Roman"/>
                <w:color w:val="auto"/>
                <w:kern w:val="0"/>
                <w:szCs w:val="18"/>
              </w:rPr>
            </w:pPr>
            <w:r>
              <w:rPr>
                <w:rFonts w:ascii="Times New Roman" w:hAnsi="Times New Roman" w:eastAsia="宋体" w:cs="Times New Roman"/>
                <w:color w:val="auto"/>
                <w:kern w:val="0"/>
                <w:szCs w:val="18"/>
              </w:rPr>
              <w:t>33.98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Times New Roman" w:hAnsi="Times New Roman" w:eastAsia="宋体" w:cs="Times New Roman"/>
                <w:color w:val="auto"/>
                <w:kern w:val="0"/>
                <w:szCs w:val="24"/>
              </w:rPr>
            </w:pPr>
            <w:r>
              <w:rPr>
                <w:rFonts w:ascii="Times New Roman" w:hAnsi="Times New Roman" w:eastAsia="宋体" w:cs="Times New Roman"/>
                <w:color w:val="auto"/>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一般公共预算财政拨款“三公”经费支出决算表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部门：湖南省广播电视监测与安全播出调度中心                                                                                                                               公开07表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6.00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1.50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4.63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0.00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4.50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0.13</w:t>
            </w:r>
          </w:p>
        </w:tc>
      </w:tr>
    </w:tbl>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ascii="Times New Roman" w:hAnsi="Times New Roman" w:eastAsia="宋体" w:cs="Times New Roman"/>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wordWrap w:val="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部门：湖南省广播电视监测与安全播出调度中心                                                                                                                       公开08表</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auto"/>
                <w:kern w:val="0"/>
                <w:szCs w:val="21"/>
              </w:rPr>
            </w:pPr>
          </w:p>
        </w:tc>
        <w:tc>
          <w:tcPr>
            <w:tcW w:w="132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c>
          <w:tcPr>
            <w:tcW w:w="2000"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 w:hRule="exac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132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c>
          <w:tcPr>
            <w:tcW w:w="2000" w:type="dxa"/>
            <w:shd w:val="clear" w:color="auto" w:fill="auto"/>
            <w:vAlign w:val="center"/>
          </w:tcPr>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无　</w:t>
            </w: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安播中心没有政府性基金收入，也没有使用政府性基金安排的支出，故本表无数据。</w:t>
      </w:r>
    </w:p>
    <w:p>
      <w:pPr>
        <w:widowControl/>
        <w:jc w:val="left"/>
        <w:rPr>
          <w:rFonts w:ascii="Times New Roman" w:hAnsi="Times New Roman" w:eastAsia="黑体" w:cs="Times New Roman"/>
          <w:color w:val="auto"/>
          <w:szCs w:val="21"/>
        </w:rPr>
      </w:pPr>
      <w:r>
        <w:rPr>
          <w:rFonts w:ascii="Times New Roman" w:hAnsi="Times New Roman" w:eastAsia="黑体" w:cs="Times New Roman"/>
          <w:color w:val="auto"/>
          <w:szCs w:val="21"/>
        </w:rPr>
        <w:br w:type="page"/>
      </w:r>
    </w:p>
    <w:tbl>
      <w:tblPr>
        <w:tblStyle w:val="7"/>
        <w:tblW w:w="14899" w:type="dxa"/>
        <w:tblInd w:w="93" w:type="dxa"/>
        <w:tblLayout w:type="autofit"/>
        <w:tblCellMar>
          <w:top w:w="0" w:type="dxa"/>
          <w:left w:w="108" w:type="dxa"/>
          <w:bottom w:w="0" w:type="dxa"/>
          <w:right w:w="108" w:type="dxa"/>
        </w:tblCellMar>
      </w:tblPr>
      <w:tblGrid>
        <w:gridCol w:w="2425"/>
        <w:gridCol w:w="560"/>
        <w:gridCol w:w="1089"/>
        <w:gridCol w:w="2126"/>
        <w:gridCol w:w="1225"/>
        <w:gridCol w:w="1326"/>
        <w:gridCol w:w="1294"/>
        <w:gridCol w:w="1683"/>
        <w:gridCol w:w="3171"/>
      </w:tblGrid>
      <w:tr>
        <w:tblPrEx>
          <w:tblCellMar>
            <w:top w:w="0" w:type="dxa"/>
            <w:left w:w="108" w:type="dxa"/>
            <w:bottom w:w="0" w:type="dxa"/>
            <w:right w:w="108" w:type="dxa"/>
          </w:tblCellMar>
        </w:tblPrEx>
        <w:trPr>
          <w:trHeight w:val="720" w:hRule="atLeast"/>
        </w:trPr>
        <w:tc>
          <w:tcPr>
            <w:tcW w:w="14899"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color w:val="auto"/>
                <w:kern w:val="0"/>
                <w:sz w:val="32"/>
                <w:szCs w:val="32"/>
              </w:rPr>
            </w:pPr>
            <w:r>
              <w:rPr>
                <w:rFonts w:ascii="Times New Roman" w:hAnsi="Times New Roman" w:eastAsia="华文中宋" w:cs="Times New Roman"/>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2425"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4854"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公开09表</w:t>
            </w:r>
          </w:p>
        </w:tc>
      </w:tr>
      <w:tr>
        <w:tblPrEx>
          <w:tblCellMar>
            <w:top w:w="0" w:type="dxa"/>
            <w:left w:w="108" w:type="dxa"/>
            <w:bottom w:w="0" w:type="dxa"/>
            <w:right w:w="108" w:type="dxa"/>
          </w:tblCellMar>
        </w:tblPrEx>
        <w:trPr>
          <w:trHeight w:val="285" w:hRule="atLeast"/>
        </w:trPr>
        <w:tc>
          <w:tcPr>
            <w:tcW w:w="2425" w:type="dxa"/>
            <w:tcBorders>
              <w:top w:val="nil"/>
              <w:left w:val="nil"/>
              <w:bottom w:val="nil"/>
              <w:right w:val="nil"/>
            </w:tcBorders>
            <w:shd w:val="clear" w:color="000000" w:fill="FFFFFF"/>
            <w:noWrap/>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部门：湖南省广播电视监测与安全播出调度中心</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p>
        </w:tc>
        <w:tc>
          <w:tcPr>
            <w:tcW w:w="4854"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6200"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项 </w:t>
            </w:r>
            <w:r>
              <w:rPr>
                <w:rFonts w:ascii="Times New Roman" w:hAnsi="Times New Roman" w:eastAsia="宋体" w:cs="Times New Roman"/>
                <w:color w:val="auto"/>
                <w:kern w:val="0"/>
                <w:sz w:val="22"/>
              </w:rPr>
              <w:t xml:space="preserve">   </w:t>
            </w:r>
            <w:r>
              <w:rPr>
                <w:rFonts w:ascii="Times New Roman" w:hAnsi="Times New Roman" w:eastAsia="宋体" w:cs="Times New Roman"/>
                <w:color w:val="auto"/>
                <w:kern w:val="0"/>
                <w:sz w:val="24"/>
                <w:szCs w:val="24"/>
              </w:rPr>
              <w:t>目</w:t>
            </w:r>
          </w:p>
        </w:tc>
        <w:tc>
          <w:tcPr>
            <w:tcW w:w="8699"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本年支出</w:t>
            </w:r>
          </w:p>
        </w:tc>
      </w:tr>
      <w:tr>
        <w:tblPrEx>
          <w:tblCellMar>
            <w:top w:w="0" w:type="dxa"/>
            <w:left w:w="108" w:type="dxa"/>
            <w:bottom w:w="0" w:type="dxa"/>
            <w:right w:w="108" w:type="dxa"/>
          </w:tblCellMar>
        </w:tblPrEx>
        <w:trPr>
          <w:trHeight w:val="402" w:hRule="atLeast"/>
        </w:trPr>
        <w:tc>
          <w:tcPr>
            <w:tcW w:w="4074"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基本支出  </w:t>
            </w:r>
          </w:p>
        </w:tc>
        <w:tc>
          <w:tcPr>
            <w:tcW w:w="31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项目支出</w:t>
            </w:r>
          </w:p>
        </w:tc>
      </w:tr>
      <w:tr>
        <w:tblPrEx>
          <w:tblCellMar>
            <w:top w:w="0" w:type="dxa"/>
            <w:left w:w="108" w:type="dxa"/>
            <w:bottom w:w="0" w:type="dxa"/>
            <w:right w:w="108" w:type="dxa"/>
          </w:tblCellMar>
        </w:tblPrEx>
        <w:trPr>
          <w:trHeight w:val="402" w:hRule="atLeast"/>
        </w:trPr>
        <w:tc>
          <w:tcPr>
            <w:tcW w:w="407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1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4074"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c>
          <w:tcPr>
            <w:tcW w:w="31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6200"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p>
        </w:tc>
        <w:tc>
          <w:tcPr>
            <w:tcW w:w="31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w:t>
            </w:r>
          </w:p>
        </w:tc>
      </w:tr>
      <w:tr>
        <w:tblPrEx>
          <w:tblCellMar>
            <w:top w:w="0" w:type="dxa"/>
            <w:left w:w="108" w:type="dxa"/>
            <w:bottom w:w="0" w:type="dxa"/>
            <w:right w:w="108" w:type="dxa"/>
          </w:tblCellMar>
        </w:tblPrEx>
        <w:trPr>
          <w:trHeight w:val="402" w:hRule="atLeast"/>
        </w:trPr>
        <w:tc>
          <w:tcPr>
            <w:tcW w:w="6200"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tcPr>
          <w:p>
            <w:pPr>
              <w:jc w:val="right"/>
              <w:rPr>
                <w:rFonts w:ascii="Times New Roman" w:hAnsi="Times New Roman" w:cs="Times New Roman"/>
                <w:color w:val="auto"/>
              </w:rPr>
            </w:pPr>
            <w:r>
              <w:rPr>
                <w:rFonts w:ascii="Times New Roman" w:hAnsi="Times New Roman" w:eastAsia="仿宋_GB2312" w:cs="Times New Roman"/>
                <w:color w:val="auto"/>
                <w:kern w:val="0"/>
                <w:szCs w:val="21"/>
              </w:rPr>
              <w:t>无</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tcPr>
          <w:p>
            <w:pPr>
              <w:jc w:val="right"/>
              <w:rPr>
                <w:rFonts w:ascii="Times New Roman" w:hAnsi="Times New Roman" w:cs="Times New Roman"/>
                <w:color w:val="auto"/>
              </w:rPr>
            </w:pPr>
            <w:r>
              <w:rPr>
                <w:rFonts w:ascii="Times New Roman" w:hAnsi="Times New Roman" w:eastAsia="仿宋_GB2312" w:cs="Times New Roman"/>
                <w:color w:val="auto"/>
                <w:kern w:val="0"/>
                <w:szCs w:val="21"/>
              </w:rPr>
              <w:t>无</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2985"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c>
          <w:tcPr>
            <w:tcW w:w="3171"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w:t>
            </w:r>
            <w:r>
              <w:rPr>
                <w:rFonts w:ascii="Times New Roman" w:hAnsi="Times New Roman" w:eastAsia="仿宋_GB2312" w:cs="Times New Roman"/>
                <w:color w:val="auto"/>
                <w:kern w:val="0"/>
                <w:szCs w:val="21"/>
              </w:rPr>
              <w:t>无</w:t>
            </w:r>
            <w:r>
              <w:rPr>
                <w:rFonts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720" w:hRule="atLeast"/>
        </w:trPr>
        <w:tc>
          <w:tcPr>
            <w:tcW w:w="14899"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注：本表反映部门本年度国有资本经营预算财政拨款支出情况。</w:t>
            </w:r>
          </w:p>
          <w:p>
            <w:pPr>
              <w:widowControl/>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说明：安播中心无国有资本经营预算财政拨款收入，也无国有资本经营预算财政拨款支出，故本表无数据。</w:t>
            </w:r>
          </w:p>
        </w:tc>
      </w:tr>
    </w:tbl>
    <w:p>
      <w:pPr>
        <w:pStyle w:val="12"/>
        <w:rPr>
          <w:rFonts w:ascii="Times New Roman" w:hAnsi="Times New Roman" w:cs="Times New Roman"/>
          <w:color w:val="auto"/>
          <w:sz w:val="72"/>
          <w:szCs w:val="72"/>
        </w:rPr>
        <w:sectPr>
          <w:pgSz w:w="16838" w:h="11906" w:orient="landscape"/>
          <w:pgMar w:top="720" w:right="720" w:bottom="720" w:left="720" w:header="851" w:footer="992" w:gutter="0"/>
          <w:cols w:space="425" w:num="1"/>
          <w:docGrid w:type="lines" w:linePitch="312" w:charSpace="0"/>
        </w:sect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pStyle w:val="12"/>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第三部分</w:t>
      </w: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2020年度部门决算情况说明</w:t>
      </w:r>
    </w:p>
    <w:p>
      <w:pPr>
        <w:widowControl/>
        <w:jc w:val="left"/>
        <w:rPr>
          <w:rFonts w:ascii="Times New Roman" w:hAnsi="Times New Roman" w:eastAsia="黑体" w:cs="Times New Roman"/>
          <w:color w:val="auto"/>
          <w:kern w:val="0"/>
          <w:sz w:val="70"/>
          <w:szCs w:val="70"/>
        </w:rPr>
      </w:pPr>
      <w:r>
        <w:rPr>
          <w:rFonts w:ascii="Times New Roman" w:hAnsi="Times New Roman" w:cs="Times New Roman"/>
          <w:color w:val="auto"/>
          <w:sz w:val="70"/>
          <w:szCs w:val="70"/>
        </w:rPr>
        <w:br w:type="page"/>
      </w:r>
    </w:p>
    <w:p>
      <w:pPr>
        <w:pStyle w:val="12"/>
        <w:rPr>
          <w:rFonts w:ascii="Times New Roman" w:hAnsi="Times New Roman" w:cs="Times New Roman" w:eastAsiaTheme="minorEastAsia"/>
          <w:color w:val="auto"/>
          <w:sz w:val="32"/>
          <w:szCs w:val="32"/>
        </w:rPr>
      </w:pP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一、收入支出决算总体情况说明</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 xml:space="preserve">2020年度收入、支出总计均为640.82万元。与2019年相比，增加45.43万元，同比增长7%，主要原因是我中心完成了有线数字监管平台二期的建成、预警信息平台的升级改造、局单频网运行管理系统的建设，新增设备一批，相应增加电费、维护费、租赁费等。 </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二、收入决算情况说明</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本年收入合计550.82万元，其中：财政拨款收入550.82元，占100%。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三、支出决算情况说明</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 xml:space="preserve">本年支出合计528.04万元，其中：基本支出251.04万元，占48%；项目支出277.01万元，占52%。 </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四、财政拨款收入支出决算总体情况说明</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 xml:space="preserve"> 2020年度收入、支出总计均为640.82万元。与2019年相比，增加45.43万元，同比增长7%，主要原因是我中心完成了有线数字监管平台二期的建成、预警信息平台的升级改造、局单频网运行管理系统的建设，新增设备一批，相应增加电费、有线线路租赁费等。</w:t>
      </w:r>
    </w:p>
    <w:p>
      <w:pPr>
        <w:rPr>
          <w:rFonts w:ascii="Times New Roman" w:hAnsi="Times New Roman" w:cs="Times New Roman"/>
          <w:b/>
          <w:color w:val="auto"/>
          <w:sz w:val="32"/>
          <w:szCs w:val="32"/>
        </w:rPr>
      </w:pPr>
      <w:r>
        <w:rPr>
          <w:rFonts w:ascii="Times New Roman" w:hAnsi="Times New Roman" w:cs="Times New Roman"/>
          <w:b/>
          <w:color w:val="auto"/>
          <w:sz w:val="32"/>
          <w:szCs w:val="32"/>
        </w:rPr>
        <w:t>五、一般公共预算财政拨款支出决算情况说明</w:t>
      </w:r>
    </w:p>
    <w:p>
      <w:pPr>
        <w:pStyle w:val="12"/>
        <w:ind w:firstLine="640" w:firstLineChars="20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（一）财政拨款支出决算总体情况</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528.04万元，占本年支出合计的100%，与上年相比，财政拨款支出增加16.97万元，增长3%，主要原因是我中心完成了有线数字监管平台二期的建成、预警信息平台的升级改造、局单频网运行管理系统的建设，新增设备一批，相应增加电费、有线线路租赁费等。</w:t>
      </w:r>
    </w:p>
    <w:p>
      <w:pPr>
        <w:pStyle w:val="12"/>
        <w:ind w:firstLine="800" w:firstLineChars="250"/>
        <w:rPr>
          <w:rFonts w:ascii="Times New Roman" w:hAnsi="Times New Roman" w:cs="Times New Roman" w:eastAsiaTheme="minorEastAsia"/>
          <w:b/>
          <w:color w:val="auto"/>
          <w:sz w:val="32"/>
          <w:szCs w:val="32"/>
        </w:rPr>
      </w:pPr>
      <w:r>
        <w:rPr>
          <w:rFonts w:ascii="Times New Roman" w:hAnsi="Times New Roman" w:eastAsia="仿宋" w:cs="Times New Roman"/>
          <w:color w:val="auto"/>
          <w:sz w:val="32"/>
          <w:szCs w:val="32"/>
        </w:rPr>
        <w:t>（二）</w:t>
      </w:r>
      <w:r>
        <w:rPr>
          <w:rFonts w:ascii="Times New Roman" w:hAnsi="Times New Roman" w:cs="Times New Roman" w:eastAsiaTheme="minorEastAsia"/>
          <w:b/>
          <w:color w:val="auto"/>
          <w:sz w:val="32"/>
          <w:szCs w:val="32"/>
        </w:rPr>
        <w:t>财政拨款支出决算结构情况</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2020年度财政拨款支出528.04万元，主要用于以下方面：文化旅游体育与传媒489.24万元，占93%；社会保障和就业服务支38.8万元，占7%。</w:t>
      </w:r>
    </w:p>
    <w:p>
      <w:pPr>
        <w:pStyle w:val="12"/>
        <w:ind w:firstLine="800" w:firstLineChars="25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（三）财政拨款支出决算具体情况</w:t>
      </w:r>
    </w:p>
    <w:p>
      <w:pPr>
        <w:pStyle w:val="12"/>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2020年度财政拨款支出年初预算数为537.67万元，支出决算数为528.04万元，完成年初预算的98%，其中：</w:t>
      </w:r>
    </w:p>
    <w:p>
      <w:pPr>
        <w:pStyle w:val="12"/>
        <w:numPr>
          <w:ilvl w:val="0"/>
          <w:numId w:val="1"/>
        </w:numPr>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文化旅游体育与传媒支出（类）广播电视（款）其他广播电视支出（项）。</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年初预算年初预算427.59万元，支出决算374.56万元，完成预算的88%。决算数小于年初预算数的主要原因是1、我中心年初有招聘新职工计划，受疫情影响未能组织招聘，预算所做人员经费未使用；2、受疫情影响地市设备维护差旅费未使用。</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文化旅游体育与传媒支出（类）广播电视（款）其他文化和旅游支出（项）年初预算71.29万元，支出决算为114.68万元，完成年初预算数的160%决算数大于年初预算数的主要原因是为配合局单频网配套项目的完成，对我中心机房进行改造，另为保障单频网设备的安全运行相应做了空调管道改造及消防管道改造项目。使用资金除上年结转资金外其他为年中追加的中央补助地方公共文化服务体系建设资金。</w:t>
      </w:r>
    </w:p>
    <w:p>
      <w:pPr>
        <w:pStyle w:val="12"/>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 社会保障和就业支出（类）行政事业单位养老支出（款）机关事业单位基本养老保险缴费支出（项）。</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年初预算为38.8万元，支出决算为38.8万元，完成年初预算的100%。</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六、一般公共预算财政拨款基本支出决算情况说明</w:t>
      </w:r>
    </w:p>
    <w:p>
      <w:pPr>
        <w:pStyle w:val="12"/>
        <w:ind w:firstLine="960" w:firstLineChars="300"/>
        <w:rPr>
          <w:rFonts w:ascii="Times New Roman" w:hAnsi="Times New Roman" w:cs="Times New Roman" w:eastAsiaTheme="minorEastAsia"/>
          <w:color w:val="auto"/>
          <w:sz w:val="32"/>
          <w:szCs w:val="32"/>
        </w:rPr>
      </w:pPr>
      <w:r>
        <w:rPr>
          <w:rFonts w:ascii="Times New Roman" w:hAnsi="Times New Roman" w:eastAsia="仿宋" w:cs="Times New Roman"/>
          <w:color w:val="auto"/>
          <w:sz w:val="32"/>
          <w:szCs w:val="32"/>
        </w:rPr>
        <w:t>2020年度财政拨款基本支出251.04万元，其中：人员经费217.06万元，占基本支出的86%，主要主要包括基本工资、绩效工资、津贴补贴、奖金、职工基本医疗保险缴费、其他社会保障缴费、机关事业单位基本养老保险缴费、职业年金缴费、住房公积金、退休职工退休费、奖励金、其他对个人和家庭的补助支出等；公用经费33.98万元，占基本支出的14%，主要包括办公费、印刷费、邮电费、差旅费、维修(护)费、培训费、公务接待费、劳务费、工会经费、公务用车运行维护费、其他交通费用、其他商品和服务支出等。</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七、一般公共预算财政拨款三公经费支出决算情况说明</w:t>
      </w:r>
    </w:p>
    <w:p>
      <w:pPr>
        <w:pStyle w:val="12"/>
        <w:ind w:firstLine="640" w:firstLineChars="20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（一）“三公”经费财政拨款支出决算总体情况说明</w:t>
      </w:r>
    </w:p>
    <w:p>
      <w:pPr>
        <w:pStyle w:val="12"/>
        <w:ind w:firstLine="800" w:firstLineChars="250"/>
        <w:rPr>
          <w:rFonts w:ascii="Times New Roman" w:hAnsi="Times New Roman" w:eastAsia="仿宋" w:cs="Times New Roman"/>
          <w:color w:val="auto"/>
          <w:sz w:val="32"/>
          <w:szCs w:val="32"/>
        </w:rPr>
      </w:pPr>
      <w:r>
        <w:rPr>
          <w:rFonts w:ascii="Times New Roman" w:hAnsi="Times New Roman" w:cs="Times New Roman" w:eastAsiaTheme="minorEastAsia"/>
          <w:color w:val="auto"/>
          <w:sz w:val="32"/>
          <w:szCs w:val="32"/>
        </w:rPr>
        <w:t>“</w:t>
      </w:r>
      <w:r>
        <w:rPr>
          <w:rFonts w:ascii="Times New Roman" w:hAnsi="Times New Roman" w:eastAsia="仿宋" w:cs="Times New Roman"/>
          <w:color w:val="auto"/>
          <w:sz w:val="32"/>
          <w:szCs w:val="32"/>
        </w:rPr>
        <w:t>三公”经费财政拨款支出预算为6万元，支出决算为4.63万元，完成预算的77%，其中：</w:t>
      </w:r>
    </w:p>
    <w:p>
      <w:pPr>
        <w:pStyle w:val="12"/>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因公出国（境）费支出预算为0万元，支出决算为0万元。与上年相比一致。</w:t>
      </w:r>
    </w:p>
    <w:p>
      <w:pPr>
        <w:pStyle w:val="12"/>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公务接待费支出预算为1.5万元，支出决算为0.13万元，完成预算的8%，与上年相比减少0.88万元，减少67%，减少的主要原因是受疫情影响，当年接待人数接待次数相应减少。</w:t>
      </w:r>
    </w:p>
    <w:p>
      <w:pPr>
        <w:pStyle w:val="12"/>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公务用车购置费预算为0万元，决算为0万元，车辆运行维护费支出预算为4.5万元，支出决算为4.5万元，完成率100%。与上年相比一致。</w:t>
      </w:r>
    </w:p>
    <w:p>
      <w:pPr>
        <w:pStyle w:val="12"/>
        <w:ind w:firstLine="800" w:firstLineChars="250"/>
        <w:rPr>
          <w:rFonts w:ascii="Times New Roman" w:hAnsi="Times New Roman" w:cs="Times New Roman" w:eastAsiaTheme="minorEastAsia"/>
          <w:b/>
          <w:color w:val="auto"/>
          <w:sz w:val="32"/>
          <w:szCs w:val="32"/>
        </w:rPr>
      </w:pPr>
      <w:r>
        <w:rPr>
          <w:rFonts w:ascii="Times New Roman" w:hAnsi="Times New Roman" w:cs="Times New Roman" w:eastAsiaTheme="minorEastAsia"/>
          <w:b/>
          <w:color w:val="auto"/>
          <w:sz w:val="32"/>
          <w:szCs w:val="32"/>
        </w:rPr>
        <w:t>（二）“三公”经费财政拨款支出决算具体情况说明</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2020年度“三公”经费财政拨款支出决算中，公务接待费支出决算0.13万元，占25%，因公出国（境）费支出决算0万元，占0%，公务用车购置费及运行维护费支出决算4.5万元，占75%。其中：</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1.因公出国（境）费支出决算为0万元，全年安排因公出国（境）团组0个，累计0人次。</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2.公务接待费支出决算为0.13万元，全年共接待来访团组3个、来宾8人次，主要是我中心开展业务活动需要开支的接待费用。</w:t>
      </w:r>
    </w:p>
    <w:p>
      <w:pPr>
        <w:pStyle w:val="12"/>
        <w:ind w:firstLine="640" w:firstLineChars="200"/>
        <w:rPr>
          <w:rFonts w:ascii="Times New Roman" w:hAnsi="Times New Roman" w:cs="Times New Roman"/>
          <w:b/>
          <w:color w:val="auto"/>
          <w:sz w:val="32"/>
          <w:szCs w:val="32"/>
        </w:rPr>
      </w:pPr>
      <w:r>
        <w:rPr>
          <w:rFonts w:ascii="Times New Roman" w:hAnsi="Times New Roman" w:eastAsia="仿宋" w:cs="Times New Roman"/>
          <w:color w:val="auto"/>
          <w:sz w:val="32"/>
          <w:szCs w:val="32"/>
        </w:rPr>
        <w:t>3.公务用车购置费及运行维护费支出决算为4.5万元，其中：公务用车购置费0万元，公务用车运行维护费4.5万元，主要是单位按规定保留的业务用车的燃料费、过桥过路费、维修维护费、保险费等支出。 截止2020年12月31日，我单位开支财政拨款的公务用车保有量为</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辆。</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八、政府性基金预算收入支出决算情况</w:t>
      </w:r>
    </w:p>
    <w:p>
      <w:pPr>
        <w:pStyle w:val="12"/>
        <w:rPr>
          <w:rFonts w:ascii="Times New Roman" w:hAnsi="Times New Roman" w:eastAsia="仿宋" w:cs="Times New Roman"/>
          <w:i/>
          <w:color w:val="auto"/>
          <w:sz w:val="32"/>
          <w:szCs w:val="32"/>
        </w:rPr>
      </w:pPr>
      <w:r>
        <w:rPr>
          <w:rFonts w:ascii="Times New Roman" w:hAnsi="Times New Roman" w:cs="Times New Roman" w:eastAsiaTheme="minorEastAsia"/>
          <w:color w:val="auto"/>
          <w:sz w:val="32"/>
          <w:szCs w:val="32"/>
        </w:rPr>
        <w:t xml:space="preserve">     </w:t>
      </w:r>
      <w:r>
        <w:rPr>
          <w:rFonts w:ascii="Times New Roman" w:hAnsi="Times New Roman" w:eastAsia="仿宋" w:cs="Times New Roman"/>
          <w:color w:val="auto"/>
          <w:sz w:val="32"/>
          <w:szCs w:val="32"/>
        </w:rPr>
        <w:t>我中心2020年度无政府性基金收支。</w:t>
      </w:r>
    </w:p>
    <w:p>
      <w:pPr>
        <w:pStyle w:val="12"/>
        <w:numPr>
          <w:ilvl w:val="0"/>
          <w:numId w:val="2"/>
        </w:numPr>
        <w:rPr>
          <w:rFonts w:ascii="Times New Roman" w:hAnsi="Times New Roman" w:cs="Times New Roman"/>
          <w:b/>
          <w:color w:val="auto"/>
          <w:sz w:val="32"/>
          <w:szCs w:val="32"/>
        </w:rPr>
      </w:pPr>
      <w:r>
        <w:rPr>
          <w:rFonts w:ascii="Times New Roman" w:hAnsi="Times New Roman" w:cs="Times New Roman"/>
          <w:b/>
          <w:color w:val="auto"/>
          <w:sz w:val="32"/>
          <w:szCs w:val="32"/>
        </w:rPr>
        <w:t>关于机关运行经费支出说明</w:t>
      </w:r>
    </w:p>
    <w:p>
      <w:pPr>
        <w:pStyle w:val="12"/>
        <w:ind w:firstLine="640" w:firstLineChars="200"/>
        <w:rPr>
          <w:rFonts w:ascii="Times New Roman" w:hAnsi="Times New Roman" w:cs="Times New Roman" w:eastAsiaTheme="minorEastAsia"/>
          <w:b/>
          <w:color w:val="auto"/>
          <w:sz w:val="32"/>
          <w:szCs w:val="32"/>
        </w:rPr>
      </w:pPr>
      <w:r>
        <w:rPr>
          <w:rFonts w:ascii="Times New Roman" w:hAnsi="Times New Roman" w:eastAsia="仿宋" w:cs="Times New Roman"/>
          <w:color w:val="auto"/>
          <w:sz w:val="32"/>
          <w:szCs w:val="32"/>
        </w:rPr>
        <w:t>本部门2020年度机关运行经费支出0万元。</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十、一般性支出情况</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2020年本部门开支会议费0万元；开支培训费1.57万元，用于中心职工日常业务培训支出</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人数4人次，其中2人参加广电总局组织的技术培训，</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人参加的省审计厅组织的内部审计培训。我中心未开展庆、晚会、论坛、赛事等活动开支。</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十一、关于政府采购支出说明</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本部门2020年度政府采购支出总额158.00万元，其中：政府采购货物支出60.84万元、政府采购工程支出97.00万元。</w:t>
      </w:r>
      <w:r>
        <w:rPr>
          <w:rFonts w:ascii="Times New Roman" w:hAnsi="Times New Roman" w:eastAsia="仿宋" w:cs="Times New Roman"/>
          <w:color w:val="auto"/>
          <w:kern w:val="0"/>
          <w:sz w:val="32"/>
          <w:szCs w:val="32"/>
        </w:rPr>
        <w:t>其中：授予中小企业合同金额60.84万元，占政府采购支出总额的38%（该项目于2020年招标完成，按照合同要求款项2021年支付），</w:t>
      </w:r>
      <w:r>
        <w:rPr>
          <w:rFonts w:ascii="Times New Roman" w:hAnsi="Times New Roman" w:eastAsia="仿宋" w:cs="Times New Roman"/>
          <w:color w:val="auto"/>
          <w:kern w:val="0"/>
          <w:sz w:val="32"/>
          <w:szCs w:val="32"/>
        </w:rPr>
        <w:t>授予小微企业合同金额60.84万元，占政府采购支出总额的38%。</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十二、关于国有资产占用情况说明</w:t>
      </w:r>
    </w:p>
    <w:p>
      <w:pPr>
        <w:pStyle w:val="12"/>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截至2020年12月31日，本单位共有车辆</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辆，为单位业务用车；单位价值50万元以上通用设备0台（套）；单位价值100万元以上专用设备0台（套）。</w:t>
      </w:r>
    </w:p>
    <w:p>
      <w:pPr>
        <w:pStyle w:val="12"/>
        <w:rPr>
          <w:rFonts w:ascii="Times New Roman" w:hAnsi="Times New Roman" w:cs="Times New Roman"/>
          <w:b/>
          <w:color w:val="auto"/>
          <w:sz w:val="32"/>
          <w:szCs w:val="32"/>
        </w:rPr>
      </w:pPr>
      <w:r>
        <w:rPr>
          <w:rFonts w:ascii="Times New Roman" w:hAnsi="Times New Roman" w:cs="Times New Roman"/>
          <w:b/>
          <w:color w:val="auto"/>
          <w:sz w:val="32"/>
          <w:szCs w:val="32"/>
        </w:rPr>
        <w:t>十三、关于2020年度预算绩效情况的说明</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为进一步规范财政资金管理，强化部门责任意识，切实提高财政资金使用效益，根据湖南省财政厅《关于印发〈湖南省省级预算部门绩效自评操作规程〉的通知》（湘财绩〔2021〕1号）要求，我中心成立了部门整体支出绩效自评工作小组，于2020年3.4月对全中心2020年度部门整体支出进行了绩效评价。自评工作小组从预算配置、预算执行情况、预算管理、职责履行、履职效益和各部门新增财政支出、一般性支出、会议支出、楼堂馆所项目支出、办公经费支出、机构编制和工资管理、厉行节约保障措施等方面进行了综合评价。相关绩效评价结果及时上报，并将相关评价报告对外进行了公开。通过开展部门整体支出自评，及时发现预算编制、预算配置、预算执行和管理中的不足之处，建立健全财务管理制度和约束机制，依法、有效的使用财政资金，提高资金使用效率，为以后年度项目安排及资金管理提供依据。</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我中心严格执行部门预算，健全相关管理制度，切实加强“三公”经费管理，努力降低行政成本，厉行节约，勤俭办事，较好地完成了年度预算执行任务。但仍存在项目支出执行率偏低，部分费用在年底集中支付；预算编制不够细化等问题。下一步改进措施: 加强预算资金管理，细化预算编制工作；加强沟通与联系，积极组织力量落实工作任务；加强人才队伍建设，提升财务人员工作水平。</w:t>
      </w:r>
    </w:p>
    <w:p>
      <w:pPr>
        <w:pStyle w:val="12"/>
        <w:rPr>
          <w:rFonts w:ascii="Times New Roman" w:hAnsi="Times New Roman" w:cs="Times New Roman"/>
          <w:b/>
          <w:color w:val="auto"/>
          <w:sz w:val="32"/>
          <w:szCs w:val="32"/>
        </w:rPr>
      </w:pPr>
    </w:p>
    <w:p>
      <w:pPr>
        <w:pStyle w:val="12"/>
        <w:jc w:val="center"/>
        <w:rPr>
          <w:rFonts w:ascii="Times New Roman" w:hAnsi="Times New Roman" w:cs="Times New Roman"/>
          <w:color w:val="auto"/>
          <w:sz w:val="72"/>
          <w:szCs w:val="72"/>
        </w:rPr>
      </w:pPr>
    </w:p>
    <w:p>
      <w:pPr>
        <w:pStyle w:val="12"/>
        <w:jc w:val="center"/>
        <w:rPr>
          <w:rFonts w:ascii="Times New Roman" w:hAnsi="Times New Roman" w:cs="Times New Roman"/>
          <w:color w:val="auto"/>
          <w:sz w:val="72"/>
          <w:szCs w:val="72"/>
        </w:rPr>
      </w:pPr>
    </w:p>
    <w:p>
      <w:pPr>
        <w:rPr>
          <w:rFonts w:ascii="Times New Roman" w:hAnsi="Times New Roman" w:cs="Times New Roman"/>
          <w:color w:val="auto"/>
          <w:sz w:val="72"/>
          <w:szCs w:val="72"/>
        </w:rPr>
      </w:pPr>
      <w:r>
        <w:rPr>
          <w:rFonts w:ascii="Times New Roman" w:hAnsi="Times New Roman" w:cs="Times New Roman"/>
          <w:color w:val="auto"/>
          <w:sz w:val="72"/>
          <w:szCs w:val="72"/>
        </w:rPr>
        <w:br w:type="page"/>
      </w: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第四部分</w:t>
      </w:r>
    </w:p>
    <w:p>
      <w:pPr>
        <w:pStyle w:val="12"/>
        <w:jc w:val="both"/>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 xml:space="preserve"> </w:t>
      </w:r>
    </w:p>
    <w:p>
      <w:pPr>
        <w:pStyle w:val="12"/>
        <w:ind w:firstLine="4160" w:firstLineChars="800"/>
        <w:jc w:val="both"/>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名词解释</w:t>
      </w:r>
    </w:p>
    <w:p>
      <w:pP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br w:type="page"/>
      </w:r>
    </w:p>
    <w:p>
      <w:pPr>
        <w:pStyle w:val="12"/>
        <w:ind w:firstLine="4160" w:firstLineChars="800"/>
        <w:jc w:val="both"/>
        <w:rPr>
          <w:rFonts w:ascii="Times New Roman" w:hAnsi="Times New Roman" w:eastAsia="方正粗黑宋简体" w:cs="Times New Roman"/>
          <w:color w:val="auto"/>
          <w:sz w:val="52"/>
          <w:szCs w:val="52"/>
        </w:rPr>
      </w:pPr>
    </w:p>
    <w:p>
      <w:pPr>
        <w:widowControl/>
        <w:spacing w:line="560" w:lineRule="exact"/>
        <w:ind w:firstLine="640" w:firstLineChars="200"/>
        <w:jc w:val="left"/>
        <w:rPr>
          <w:rFonts w:ascii="Times New Roman" w:hAnsi="Times New Roman" w:eastAsia="仿宋_GB2312" w:cs="Times New Roman"/>
          <w:color w:val="auto"/>
          <w:kern w:val="0"/>
          <w:sz w:val="32"/>
          <w:szCs w:val="32"/>
        </w:rPr>
      </w:pP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一、财政拨款收入:指省财政当年拨付的资金。</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二、政府性基金预算财政拨款:指当年拨付的国家电影事业发展专项资金。</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三、事业收入:指事业单位开展专业活动及辅助活动所取得的收入。如:网络中心的收取的技术服务费等。</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四、经营收入:指事业单位在专业业务活动及其辅助活动之外开展非独立核算经营活动取得的收入。如:检测中心的出版物、电影检测费和出版物鉴定费用。</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五、其他收入:指除上述“财政拨款”、“事业收入”、“事业单位经营收入”等以外的收入。主要是存款利息收入。</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六、用事业基金弥补收支差额:指差额拨款的事业单位在当年“财政拨款收入”、“事业收入”、“经营收入”、“其他收入”不足以安排当年支出的情况下，使用以前年度积累的事业基金(事业单位当度收支相抵后按国家规定提取、用于弥补以后年度收支差额的基金)弥补本年度收支缺口的资金。</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七、年初结转和结余:指以前年度支出预算因客观条件变化未执行完毕、结转到本年度按有关规定继续使用的资金。</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八、基本支出:指为保障机构正常运转、完成日常工作任务所必需的开支，其内容包括人员经费和日常公用经费两部分。</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九、项目支出:指在基本支出之外，为完成特定的行政工作任务或事业发展目标所发生的支出。</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十、因公出国（境）费：指单位公务出国（境）的住宿费、旅费、伙食补助费、杂费、培训费等支出。</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十一、公务用车购置费：指单位公务车辆购置支出，包括车辆购置税支出。</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十二、公务用车运行维护费：指单位公务用车租用费、燃料费、维修费、过路过桥费、保险费、安全奖励费用等支出。</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十三、公务接待费：指单位按规定开支的各类公务接待（含 外宾接待）费用。</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四、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十五、年末结转和结余：指本年度或以前年度预算安排、因客观条件发生变化无法按原计划实施，需延迟到以后年度按有关规定继续使用的资金。</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widowControl/>
        <w:spacing w:line="560" w:lineRule="exact"/>
        <w:jc w:val="left"/>
        <w:rPr>
          <w:rFonts w:ascii="Times New Roman" w:hAnsi="Times New Roman" w:cs="Times New Roman"/>
          <w:color w:val="auto"/>
          <w:sz w:val="72"/>
          <w:szCs w:val="7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p>
    <w:p>
      <w:pPr>
        <w:pStyle w:val="12"/>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第五部分</w:t>
      </w:r>
    </w:p>
    <w:p>
      <w:pPr>
        <w:pStyle w:val="12"/>
        <w:jc w:val="cente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t>附件</w:t>
      </w:r>
    </w:p>
    <w:p>
      <w:pPr>
        <w:rPr>
          <w:rFonts w:ascii="Times New Roman" w:hAnsi="Times New Roman" w:eastAsia="方正粗黑宋简体" w:cs="Times New Roman"/>
          <w:color w:val="auto"/>
          <w:sz w:val="52"/>
          <w:szCs w:val="52"/>
        </w:rPr>
      </w:pPr>
      <w:r>
        <w:rPr>
          <w:rFonts w:ascii="Times New Roman" w:hAnsi="Times New Roman" w:eastAsia="方正粗黑宋简体" w:cs="Times New Roman"/>
          <w:color w:val="auto"/>
          <w:sz w:val="52"/>
          <w:szCs w:val="52"/>
        </w:rPr>
        <w:br w:type="page"/>
      </w:r>
    </w:p>
    <w:p>
      <w:pPr>
        <w:pStyle w:val="12"/>
        <w:jc w:val="center"/>
        <w:rPr>
          <w:rFonts w:ascii="Times New Roman" w:hAnsi="Times New Roman" w:eastAsia="方正粗黑宋简体" w:cs="Times New Roman"/>
          <w:color w:val="auto"/>
          <w:sz w:val="52"/>
          <w:szCs w:val="52"/>
        </w:rPr>
      </w:pPr>
    </w:p>
    <w:p>
      <w:pPr>
        <w:jc w:val="center"/>
        <w:rPr>
          <w:rFonts w:ascii="Times New Roman" w:hAnsi="Times New Roman" w:eastAsia="方正粗黑宋简体" w:cs="Times New Roman"/>
          <w:color w:val="auto"/>
          <w:kern w:val="0"/>
          <w:sz w:val="52"/>
          <w:szCs w:val="52"/>
        </w:rPr>
      </w:pPr>
    </w:p>
    <w:p>
      <w:pPr>
        <w:jc w:val="center"/>
        <w:rPr>
          <w:rFonts w:ascii="Times New Roman" w:hAnsi="Times New Roman" w:cs="Times New Roman"/>
          <w:b/>
          <w:color w:val="auto"/>
          <w:sz w:val="44"/>
          <w:szCs w:val="44"/>
        </w:rPr>
      </w:pPr>
      <w:r>
        <w:rPr>
          <w:rFonts w:ascii="Times New Roman" w:hAnsi="Times New Roman" w:cs="Times New Roman"/>
          <w:b/>
          <w:color w:val="auto"/>
          <w:sz w:val="44"/>
          <w:szCs w:val="44"/>
        </w:rPr>
        <w:t>湖南省广播电视监测与安全播出调度中心</w:t>
      </w:r>
    </w:p>
    <w:p>
      <w:pPr>
        <w:jc w:val="center"/>
        <w:rPr>
          <w:rFonts w:ascii="Times New Roman" w:hAnsi="Times New Roman" w:cs="Times New Roman"/>
          <w:b/>
          <w:color w:val="auto"/>
          <w:sz w:val="44"/>
          <w:szCs w:val="44"/>
        </w:rPr>
      </w:pPr>
      <w:r>
        <w:rPr>
          <w:rFonts w:ascii="Times New Roman" w:hAnsi="Times New Roman" w:cs="Times New Roman"/>
          <w:b/>
          <w:color w:val="auto"/>
          <w:sz w:val="44"/>
          <w:szCs w:val="44"/>
        </w:rPr>
        <w:t>2020年度部门整体绩效评价报告</w:t>
      </w:r>
    </w:p>
    <w:p>
      <w:pPr>
        <w:rPr>
          <w:rFonts w:ascii="Times New Roman" w:hAnsi="Times New Roman" w:cs="Times New Roman"/>
          <w:color w:val="auto"/>
          <w:sz w:val="44"/>
          <w:szCs w:val="44"/>
        </w:rPr>
      </w:pPr>
    </w:p>
    <w:p>
      <w:pPr>
        <w:ind w:firstLine="600" w:firstLineChars="2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根据湖南省财政厅关于开展2020年财政支出绩效评价工作的通知要求，现将湖南省广播电视监测与安全播出调度中心2020年部门预算支出绩效评价报告如下。</w:t>
      </w:r>
    </w:p>
    <w:p>
      <w:pPr>
        <w:ind w:firstLine="600" w:firstLineChars="2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一、部门概况</w:t>
      </w:r>
    </w:p>
    <w:p>
      <w:pPr>
        <w:pStyle w:val="13"/>
        <w:ind w:left="-138" w:leftChars="-66" w:firstLine="750" w:firstLineChars="25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1．部门职能。安播中心是湖南省广电局直属事业单位。承担着对全省广播电视质量监测、技术监管和安全播出预警调度，对广播电视公共服务进行效能监督，开展广播电视信息安全和三网融合及新媒体播出安全监管等职责。</w:t>
      </w:r>
    </w:p>
    <w:p>
      <w:pPr>
        <w:pStyle w:val="13"/>
        <w:ind w:left="-138" w:leftChars="-66" w:firstLine="750" w:firstLineChars="25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2．人员及资产情况。中心现有编制19人，实有在编在岗职工13人，退休职工6人。目前中心内设办公室、技术维护科、安全播出管理科、监测信息科共4个科室。2020年中心固定资产总额600.21万元。</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二、一般公共预算支出情况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中心严格按照省财政厅“人员经费按标准，公用经费按定额的预算原则”进行编制。根据湖南省财政厅关于做好2020年财务决算工作的通知要求，客观真实编制2020年部门决算。</w:t>
      </w:r>
    </w:p>
    <w:p>
      <w:pPr>
        <w:pStyle w:val="13"/>
        <w:ind w:firstLineChars="15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资金组成情况分析。安播中心2020年整体财政预算及其他财政资金来源共639.27万元，其中2020年度财政收入为550.82万元，基本支出收入268.74万元，项目支出收入282.08万元，上年度结转资金（项目支出收入）88.45万元。</w:t>
      </w:r>
    </w:p>
    <w:p>
      <w:pPr>
        <w:pStyle w:val="13"/>
        <w:ind w:left="-140" w:leftChars="-67" w:firstLine="560"/>
        <w:rPr>
          <w:rFonts w:ascii="Times New Roman" w:hAnsi="Times New Roman" w:eastAsia="仿宋" w:cs="Times New Roman"/>
          <w:color w:val="auto"/>
          <w:sz w:val="28"/>
          <w:szCs w:val="28"/>
        </w:rPr>
      </w:pPr>
      <w:r>
        <w:rPr>
          <w:rFonts w:ascii="Times New Roman" w:hAnsi="Times New Roman" w:eastAsia="仿宋" w:cs="Times New Roman"/>
          <w:color w:val="auto"/>
          <w:sz w:val="28"/>
          <w:szCs w:val="28"/>
        </w:rPr>
        <w:t>预算执行情况。安播中心2020年部门支出合计为528.04万元,其中财政基本支出为251.04万元，项目支出277.01万元。</w:t>
      </w:r>
    </w:p>
    <w:p>
      <w:pPr>
        <w:ind w:firstLine="450" w:firstLineChars="15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（一）基本支出情况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2020年共发生基本支出251.04万元，其中工资福利支出204.57万元，一般商品服务支出33.98万元，对个人和家庭补助12.49万元。中心2020年“三公”经费实际支出4.62万元，均在基本支出中列示。其中公务用车运行维护费为4.49万元，公务接待费为0.13万元，未发生因公出国（境）费用。中心严格执行年初预算，由办公室严格按照预算进行费用控制，执行过程中一般不予调整。</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（二）项目支出情况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中心2020年财政专项拨付370.53万元（其中含上年结转资金88.45万元）。</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1．运行维护费141万元，实际使用该项资金140.70万元。该维护费主要支出项目为：（1）支付19个高山台14个地市机房设备电费及维护费；（2）中心现有已过保质期系统的维护维修费用；（3）中心机房设备所应支付的电费；（4）现有系统平台租赁网络公司的网络租赁费;</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新预警指挥调度大厅建设140万元，含上年结转资金88.45万元。实际使用该资金122.77万元。用于1、单频网配套项目建设的机房改造装修款80万元；2、机房空调管道改造24.14万元；3、机房和走道消防管道改造9.16万元；4、购置设备及办公家具9.47万元。</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3．安全播出预警信息系统75万元，目前使用该项资金1.38万元，用于该项目政府采购代理服务费。该资金于2020年11月到位，按照政府采购要求，中心于2020年进行了政府采购招标流程，于2021年正式启动该项目支付款项。</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4、日常业务项目收入14.53万元，实际使用该资金12.16万元。用于1、股权转让审计及资评费6万元；2、新职工招聘费用3.65万元；3、党建活动费用2.49万元。</w:t>
      </w:r>
    </w:p>
    <w:p>
      <w:pPr>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2020年底项目分配执行预算为277.01万元，未使用结转资金为93.52万元。</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三、政府性基金预算支出情况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中心无政府性基金预算支出。</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四、国有资本经营预算支出情况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中心无国有资本经营预算支出</w:t>
      </w:r>
      <w:r>
        <w:rPr>
          <w:rFonts w:hint="eastAsia" w:ascii="Times New Roman" w:hAnsi="Times New Roman" w:eastAsia="仿宋" w:cs="Times New Roman"/>
          <w:color w:val="auto"/>
          <w:sz w:val="30"/>
          <w:szCs w:val="30"/>
        </w:rPr>
        <w:t>。</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五、社会保险基金预算支出情况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中心无社会保险基金预算支出</w:t>
      </w:r>
      <w:r>
        <w:rPr>
          <w:rFonts w:hint="eastAsia" w:ascii="Times New Roman" w:hAnsi="Times New Roman" w:eastAsia="仿宋" w:cs="Times New Roman"/>
          <w:color w:val="auto"/>
          <w:sz w:val="30"/>
          <w:szCs w:val="30"/>
        </w:rPr>
        <w:t>。</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六、部门整体支出绩效情况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2020年，根据年初工作规划和重点性工作，以行业管理为中心工作，中心上下团结一心，迎难而上，锐意进取，各项工作取得了较大成绩，较好的完成了年度工作目标。通过加强预算收支管理，不断建立健全内部管理制度，梳理内部管理流程，部门整体支出管理情况得到提升。部门整体支出绩效情况如下：</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（一）、整体绩效评价</w:t>
      </w:r>
    </w:p>
    <w:p>
      <w:pPr>
        <w:pStyle w:val="13"/>
        <w:ind w:left="-138" w:leftChars="-66" w:firstLine="616"/>
        <w:rPr>
          <w:rFonts w:ascii="Times New Roman" w:hAnsi="Times New Roman" w:eastAsia="仿宋" w:cs="Times New Roman"/>
          <w:color w:val="auto"/>
          <w:sz w:val="30"/>
          <w:szCs w:val="30"/>
        </w:rPr>
      </w:pPr>
      <w:r>
        <w:rPr>
          <w:rFonts w:ascii="Times New Roman" w:hAnsi="Times New Roman" w:eastAsia="仿宋" w:cs="Times New Roman"/>
          <w:color w:val="auto"/>
          <w:spacing w:val="-6"/>
          <w:sz w:val="32"/>
          <w:szCs w:val="32"/>
        </w:rPr>
        <w:t>1. 认真履行安全播出管理职责，做好重保期和重要活动的安全播出管理。今年有“元旦”“春节”“清明”“两会”“十一”等5次共18天重要保障期；央视现场直播5次重要活动：9.3中国人民抗日战争胜利纪念馆敬献花篮仪式、9.8全国抗击新冠疫情表彰大会、10.14.深圳经济特区建立40周年庆祝大会、10.23纪念中国人民志愿军抗美援朝出国作战70周年大会、10.30中共中央举行绍党的十九届五中全会精神新闻发布会。在保障期和重要活动期间，我中心严格按照总局要求加强值班值守，加强安全防范，认真督促全省各级行政主管部门和播出单位履职尽责；通过中心指挥调度平台向全省134个预警前端进行指挥调度，预警调度各单位做好信号源备份和应急准备等工作；全省各安全播出责任单位严格按照有关要求做好值班值守和安全防范工作，执行24小时安全值守制度，主管领导深入一线带班，各责任单位“零报告”执行到位，全省广播电视安全播出整体态势平稳，保障任务圆满完成。</w:t>
      </w:r>
    </w:p>
    <w:p>
      <w:pPr>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2．积极发挥监测调度手段丰富的优势，加强安全播出日常管理。今年，共处理</w:t>
      </w:r>
      <w:r>
        <w:rPr>
          <w:rFonts w:ascii="Times New Roman" w:hAnsi="Times New Roman" w:eastAsia="仿宋" w:cs="Times New Roman"/>
          <w:bCs/>
          <w:color w:val="auto"/>
          <w:sz w:val="32"/>
          <w:szCs w:val="32"/>
        </w:rPr>
        <w:t>安全播出专门文件64份，发布预警短信423条，转总局266条，省局发布157条</w:t>
      </w:r>
      <w:r>
        <w:rPr>
          <w:rFonts w:ascii="Times New Roman" w:hAnsi="Times New Roman" w:eastAsia="仿宋" w:cs="Times New Roman"/>
          <w:color w:val="auto"/>
          <w:sz w:val="32"/>
          <w:szCs w:val="32"/>
        </w:rPr>
        <w:t>，编辑</w:t>
      </w:r>
      <w:r>
        <w:rPr>
          <w:rFonts w:ascii="Times New Roman" w:hAnsi="Times New Roman" w:eastAsia="仿宋" w:cs="Times New Roman"/>
          <w:bCs/>
          <w:color w:val="auto"/>
          <w:sz w:val="32"/>
          <w:szCs w:val="32"/>
        </w:rPr>
        <w:t>安全播出简报12期，每季度</w:t>
      </w:r>
      <w:r>
        <w:rPr>
          <w:rFonts w:ascii="Times New Roman" w:hAnsi="Times New Roman" w:eastAsia="仿宋" w:cs="Times New Roman"/>
          <w:color w:val="auto"/>
          <w:sz w:val="32"/>
          <w:szCs w:val="32"/>
        </w:rPr>
        <w:t>汇总</w:t>
      </w:r>
      <w:r>
        <w:rPr>
          <w:rFonts w:ascii="Times New Roman" w:hAnsi="Times New Roman" w:eastAsia="仿宋" w:cs="Times New Roman"/>
          <w:bCs/>
          <w:color w:val="auto"/>
          <w:sz w:val="32"/>
          <w:szCs w:val="32"/>
        </w:rPr>
        <w:t>广播电视设施安全保护工作报表报总局安全传输司，</w:t>
      </w:r>
      <w:r>
        <w:rPr>
          <w:rFonts w:ascii="Times New Roman" w:hAnsi="Times New Roman" w:eastAsia="仿宋" w:cs="Times New Roman"/>
          <w:color w:val="auto"/>
          <w:sz w:val="32"/>
          <w:szCs w:val="32"/>
        </w:rPr>
        <w:t>汇总编发省内各级播出机构安全播出动态及</w:t>
      </w:r>
      <w:r>
        <w:rPr>
          <w:rFonts w:ascii="Times New Roman" w:hAnsi="Times New Roman" w:eastAsia="仿宋" w:cs="Times New Roman"/>
          <w:bCs/>
          <w:color w:val="auto"/>
          <w:sz w:val="32"/>
          <w:szCs w:val="32"/>
        </w:rPr>
        <w:t>全省广播电视监测情况，为省局领导及相关处室科学管理提供了有力支撑。</w:t>
      </w:r>
    </w:p>
    <w:p>
      <w:pPr>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我中心共监测21个无线转播台（19个骨干高山台+湖南广播电视台德雅村发射中心+岳麓山发射中心），其中无线电视频道120套，广播频率98套。从9月20日起，启用新的监测系统，对全省60个无线转播台信号进行监测，共监测218个调频电视频率。全年共监测发现停播次数72次，累计停播时长92小时56分59秒，共处理台站备案操作105次，台站防雷击关机操作93次。</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全省干线网络通达至全省所有市县，其中98%形成双路由环路保护。全年干线网发生外力损坏事故607起，故障时长4550小时28分。其中造成网络中断事故17起，中断时长60小时33分。</w:t>
      </w:r>
    </w:p>
    <w:p>
      <w:pPr>
        <w:spacing w:line="600" w:lineRule="exact"/>
        <w:ind w:firstLine="640" w:firstLineChars="200"/>
        <w:rPr>
          <w:rFonts w:ascii="Times New Roman" w:hAnsi="Times New Roman" w:eastAsia="仿宋_GB2312" w:cs="Times New Roman"/>
          <w:bCs/>
          <w:color w:val="auto"/>
          <w:spacing w:val="-2"/>
          <w:sz w:val="32"/>
          <w:szCs w:val="32"/>
        </w:rPr>
      </w:pPr>
      <w:r>
        <w:rPr>
          <w:rFonts w:ascii="Times New Roman" w:hAnsi="Times New Roman" w:eastAsia="仿宋" w:cs="Times New Roman"/>
          <w:color w:val="auto"/>
          <w:sz w:val="32"/>
          <w:szCs w:val="32"/>
        </w:rPr>
        <w:t>3．积极协调全省各级安全播出责任单位，做好安全播出指挥调度。1月8日，我中心参加省局检查组</w:t>
      </w:r>
      <w:r>
        <w:rPr>
          <w:rFonts w:ascii="Times New Roman" w:hAnsi="Times New Roman" w:eastAsia="华文仿宋" w:cs="Times New Roman"/>
          <w:color w:val="auto"/>
          <w:sz w:val="32"/>
          <w:szCs w:val="32"/>
        </w:rPr>
        <w:t>对长沙地区播出机构进行了安全播出检查，</w:t>
      </w:r>
      <w:r>
        <w:rPr>
          <w:rFonts w:ascii="Times New Roman" w:hAnsi="Times New Roman" w:eastAsia="仿宋" w:cs="Times New Roman"/>
          <w:color w:val="auto"/>
          <w:sz w:val="32"/>
          <w:szCs w:val="32"/>
        </w:rPr>
        <w:t>要求各责任单位做好春节和全国“两会”期间的安全播出工作</w:t>
      </w:r>
      <w:r>
        <w:rPr>
          <w:rFonts w:ascii="Times New Roman" w:hAnsi="Times New Roman" w:eastAsia="华文仿宋" w:cs="Times New Roman"/>
          <w:color w:val="auto"/>
          <w:sz w:val="32"/>
          <w:szCs w:val="32"/>
        </w:rPr>
        <w:t>；</w:t>
      </w:r>
      <w:r>
        <w:rPr>
          <w:rFonts w:ascii="Times New Roman" w:hAnsi="Times New Roman" w:eastAsia="仿宋" w:cs="Times New Roman"/>
          <w:color w:val="auto"/>
          <w:sz w:val="32"/>
          <w:szCs w:val="32"/>
        </w:rPr>
        <w:t>1月16日，协作组织长沙地区播出机构</w:t>
      </w:r>
      <w:r>
        <w:rPr>
          <w:rFonts w:ascii="Times New Roman" w:hAnsi="Times New Roman" w:eastAsia="华文仿宋" w:cs="Times New Roman"/>
          <w:color w:val="auto"/>
          <w:sz w:val="32"/>
          <w:szCs w:val="32"/>
        </w:rPr>
        <w:t>召开安全保障工作会议，对做好春节两会的安全播出工作提出要求；5月12日，组织召开一季度长沙地区安全传</w:t>
      </w:r>
      <w:r>
        <w:rPr>
          <w:rFonts w:ascii="Times New Roman" w:hAnsi="Times New Roman" w:eastAsia="仿宋" w:cs="Times New Roman"/>
          <w:color w:val="auto"/>
          <w:sz w:val="32"/>
          <w:szCs w:val="32"/>
        </w:rPr>
        <w:t>输保障工作会议，对即将召开的全国“两会”的广播电视安全保障工作进行了部署；7 月 28 日，组织召开二季度长沙地区安全保障工作会议；9月29日，参加省会城市广播电视重要播出单位安全检查；10月28日，</w:t>
      </w:r>
      <w:r>
        <w:rPr>
          <w:rFonts w:ascii="Times New Roman" w:hAnsi="Times New Roman" w:eastAsia="华文仿宋" w:cs="Times New Roman"/>
          <w:color w:val="auto"/>
          <w:sz w:val="32"/>
          <w:szCs w:val="32"/>
        </w:rPr>
        <w:t>组织召开</w:t>
      </w:r>
      <w:r>
        <w:rPr>
          <w:rFonts w:ascii="Times New Roman" w:hAnsi="Times New Roman" w:eastAsia="华文仿宋" w:cs="Times New Roman"/>
          <w:color w:val="auto"/>
          <w:spacing w:val="-2"/>
          <w:sz w:val="32"/>
          <w:szCs w:val="32"/>
        </w:rPr>
        <w:t>三季度长沙地区安全传输保障工作会议</w:t>
      </w:r>
      <w:r>
        <w:rPr>
          <w:rFonts w:ascii="Times New Roman" w:hAnsi="Times New Roman" w:eastAsia="仿宋_GB2312" w:cs="Times New Roman"/>
          <w:bCs/>
          <w:color w:val="auto"/>
          <w:spacing w:val="-2"/>
          <w:sz w:val="32"/>
          <w:szCs w:val="32"/>
        </w:rPr>
        <w:t>。</w:t>
      </w:r>
    </w:p>
    <w:p>
      <w:pPr>
        <w:ind w:firstLine="640" w:firstLineChars="200"/>
        <w:rPr>
          <w:rFonts w:ascii="Times New Roman" w:hAnsi="Times New Roman" w:eastAsia="华文仿宋" w:cs="Times New Roman"/>
          <w:color w:val="auto"/>
          <w:sz w:val="32"/>
          <w:szCs w:val="32"/>
        </w:rPr>
      </w:pPr>
      <w:r>
        <w:rPr>
          <w:rFonts w:ascii="Times New Roman" w:hAnsi="Times New Roman" w:eastAsia="仿宋_GB2312" w:cs="Times New Roman"/>
          <w:color w:val="auto"/>
          <w:sz w:val="32"/>
          <w:szCs w:val="32"/>
        </w:rPr>
        <w:t xml:space="preserve">4. </w:t>
      </w:r>
      <w:r>
        <w:rPr>
          <w:rFonts w:ascii="Times New Roman" w:hAnsi="Times New Roman" w:eastAsia="仿宋" w:cs="Times New Roman"/>
          <w:color w:val="auto"/>
          <w:sz w:val="32"/>
          <w:szCs w:val="32"/>
        </w:rPr>
        <w:t>以事件事故处置为抓手，狠抓安全播出应急管理。全年，我中心共接报和处置安全播出事故12起。其中</w:t>
      </w:r>
      <w:r>
        <w:rPr>
          <w:rFonts w:ascii="Times New Roman" w:hAnsi="Times New Roman" w:eastAsia="仿宋" w:cs="Times New Roman"/>
          <w:color w:val="auto"/>
          <w:kern w:val="0"/>
          <w:sz w:val="32"/>
          <w:szCs w:val="32"/>
        </w:rPr>
        <w:t>8.17茶频道</w:t>
      </w:r>
      <w:r>
        <w:rPr>
          <w:rFonts w:ascii="Times New Roman" w:hAnsi="Times New Roman" w:eastAsia="仿宋" w:cs="Times New Roman"/>
          <w:color w:val="auto"/>
          <w:sz w:val="32"/>
          <w:szCs w:val="32"/>
        </w:rPr>
        <w:t>重大停播事故和12.14湖南台上星频道因雨雪灾害天气造成上星频道停播事件，我中心配合省局召开事故分析会，</w:t>
      </w:r>
      <w:r>
        <w:rPr>
          <w:rFonts w:ascii="Times New Roman" w:hAnsi="Times New Roman" w:eastAsia="仿宋" w:cs="Times New Roman"/>
          <w:color w:val="auto"/>
          <w:kern w:val="0"/>
          <w:sz w:val="32"/>
          <w:szCs w:val="32"/>
        </w:rPr>
        <w:t>深挖事故原因，厘清事故责任，督促湖南台对相关单位和责任人作出处理，举一反三，汲取教训。</w:t>
      </w:r>
      <w:r>
        <w:rPr>
          <w:rFonts w:ascii="Times New Roman" w:hAnsi="Times New Roman" w:eastAsia="华文仿宋" w:cs="Times New Roman"/>
          <w:color w:val="auto"/>
          <w:sz w:val="30"/>
          <w:szCs w:val="30"/>
        </w:rPr>
        <w:t>7 月 16-29 日，中心抽</w:t>
      </w:r>
      <w:r>
        <w:rPr>
          <w:rFonts w:ascii="Times New Roman" w:hAnsi="Times New Roman" w:eastAsia="华文仿宋" w:cs="Times New Roman"/>
          <w:color w:val="auto"/>
          <w:sz w:val="32"/>
          <w:szCs w:val="32"/>
        </w:rPr>
        <w:t>调技术骨干，参加全省中波广播系统安全保障工作大检查工作，检查全省 15 个中波台，收集汇总了25大项82个问题，给局党组进行了情况汇报，给15个中波台下发了整改建议书；</w:t>
      </w:r>
      <w:r>
        <w:rPr>
          <w:rFonts w:ascii="Times New Roman" w:hAnsi="Times New Roman" w:eastAsia="仿宋" w:cs="Times New Roman"/>
          <w:color w:val="auto"/>
          <w:kern w:val="0"/>
          <w:sz w:val="32"/>
          <w:szCs w:val="32"/>
        </w:rPr>
        <w:t>9月份，协助省局下发《湖南省广播电视安全播出百日行动方案》，在全省范围开展</w:t>
      </w:r>
      <w:r>
        <w:rPr>
          <w:rFonts w:ascii="Times New Roman" w:hAnsi="Times New Roman" w:eastAsia="华文仿宋" w:cs="Times New Roman"/>
          <w:color w:val="auto"/>
          <w:sz w:val="32"/>
          <w:szCs w:val="32"/>
        </w:rPr>
        <w:t>广播电视安全播出工作百日行动，力求“从根本上消除事故隐患”。</w:t>
      </w:r>
    </w:p>
    <w:p>
      <w:pPr>
        <w:ind w:firstLine="640" w:firstLineChars="200"/>
        <w:rPr>
          <w:rFonts w:ascii="Times New Roman" w:hAnsi="Times New Roman" w:eastAsia="仿宋_GB2312" w:cs="Times New Roman"/>
          <w:color w:val="auto"/>
          <w:spacing w:val="6"/>
          <w:sz w:val="32"/>
          <w:szCs w:val="32"/>
        </w:rPr>
      </w:pPr>
      <w:r>
        <w:rPr>
          <w:rFonts w:ascii="Times New Roman" w:hAnsi="Times New Roman" w:eastAsia="华文仿宋" w:cs="Times New Roman"/>
          <w:color w:val="auto"/>
          <w:sz w:val="32"/>
          <w:szCs w:val="32"/>
        </w:rPr>
        <w:t>5. 做好广播电视设施保护工作，打击损毁破坏广播电视设施活动。7.26宁远广播电视发射塔倒塌事件，中心配合省局，3次赴宁远进行事件调查，按照张宏森部长的批示，督促宁远县委县政府积极作为；每季度做好设施保护数据统计，填报《广播电视设施安全保护工作季</w:t>
      </w:r>
      <w:r>
        <w:rPr>
          <w:rFonts w:ascii="Times New Roman" w:hAnsi="Times New Roman" w:eastAsia="仿宋" w:cs="Times New Roman"/>
          <w:color w:val="auto"/>
          <w:spacing w:val="6"/>
          <w:sz w:val="32"/>
          <w:szCs w:val="32"/>
        </w:rPr>
        <w:t>度报表》《广播电视设施安全保护宣传工作季度统计表》报送总局。</w:t>
      </w:r>
    </w:p>
    <w:p>
      <w:pPr>
        <w:widowControl/>
        <w:spacing w:line="600" w:lineRule="exact"/>
        <w:ind w:firstLine="601"/>
        <w:jc w:val="left"/>
        <w:rPr>
          <w:rFonts w:ascii="Times New Roman" w:hAnsi="Times New Roman" w:eastAsia="仿宋" w:cs="Times New Roman"/>
          <w:color w:val="auto"/>
          <w:spacing w:val="-6"/>
          <w:sz w:val="32"/>
          <w:szCs w:val="32"/>
        </w:rPr>
      </w:pPr>
      <w:r>
        <w:rPr>
          <w:rFonts w:ascii="Times New Roman" w:hAnsi="Times New Roman" w:eastAsia="仿宋" w:cs="Times New Roman"/>
          <w:color w:val="auto"/>
          <w:sz w:val="32"/>
          <w:szCs w:val="32"/>
        </w:rPr>
        <w:t>6．</w:t>
      </w:r>
      <w:r>
        <w:rPr>
          <w:rFonts w:ascii="Times New Roman" w:hAnsi="Times New Roman" w:eastAsia="仿宋" w:cs="Times New Roman"/>
          <w:color w:val="auto"/>
          <w:spacing w:val="-6"/>
          <w:sz w:val="32"/>
          <w:szCs w:val="32"/>
        </w:rPr>
        <w:t>做好疫情期间确保安全生产的工作。2月7日，按照省委宣传部的要求，收集全省省级播出单位和各市州广播电视责任单位确保广播电视安全播出所做的工作，每日汇总上报。2月14日，按照国家广播电视总局的要求，启动疫情期间网络安保工作“零报告”制度，每日通过总局广播电视网络安全微信群报送前24小时工作情况。</w:t>
      </w:r>
    </w:p>
    <w:p>
      <w:pPr>
        <w:widowControl/>
        <w:spacing w:line="600" w:lineRule="exact"/>
        <w:ind w:firstLine="601"/>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稳步推进中心事业建设，监管工作有序开展。今年我中心主要工作就是进行单频网运行管理系统配套设施改造，中心3月招标，进行了监管大厅建设，机房改造，设备搬迁，9月份省单频网监管系统进行试运行，监测机房的改造和监管大厅的建设提升了中心的整体形象，代表先进技术的一体化机房，虚拟化数据平台布置在110平的展示大厅，画面云系统显示在48块55吋显示屏拼接成40平的大屏上，既便利了工作的开展，又给人一种技术的美感。</w:t>
      </w:r>
    </w:p>
    <w:p>
      <w:pPr>
        <w:widowControl/>
        <w:spacing w:line="600" w:lineRule="exact"/>
        <w:ind w:firstLine="601"/>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中心在2月份制定省无线广播电视监测网系统2020年度维保方案； 3月与博汇公司签订湖南省无线监管云平台维保合同；与长沙有线网络公司签订网络租赁合同。</w:t>
      </w:r>
    </w:p>
    <w:p>
      <w:pPr>
        <w:widowControl/>
        <w:spacing w:line="600" w:lineRule="exact"/>
        <w:ind w:firstLine="601"/>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本年度工作亮点</w:t>
      </w:r>
    </w:p>
    <w:p>
      <w:pPr>
        <w:ind w:firstLine="660"/>
        <w:rPr>
          <w:rFonts w:ascii="Times New Roman" w:hAnsi="Times New Roman" w:eastAsia="仿宋" w:cs="Times New Roman"/>
          <w:bCs/>
          <w:color w:val="auto"/>
          <w:sz w:val="32"/>
          <w:szCs w:val="32"/>
        </w:rPr>
      </w:pPr>
      <w:r>
        <w:rPr>
          <w:rFonts w:ascii="Times New Roman" w:hAnsi="Times New Roman" w:eastAsia="仿宋" w:cs="Times New Roman"/>
          <w:bCs/>
          <w:color w:val="auto"/>
          <w:sz w:val="32"/>
          <w:szCs w:val="32"/>
        </w:rPr>
        <w:t>1.参加省直机关文明办等机构联合组织的“微光大义·致敬白衣天使”志愿者公益活动，我中心是全省第一批报名并获得通过的单位</w:t>
      </w:r>
      <w:r>
        <w:rPr>
          <w:rFonts w:ascii="Times New Roman" w:hAnsi="Times New Roman" w:eastAsia="仿宋" w:cs="Times New Roman"/>
          <w:bCs/>
          <w:color w:val="auto"/>
          <w:sz w:val="32"/>
          <w:szCs w:val="24"/>
        </w:rPr>
        <w:t>。</w:t>
      </w:r>
      <w:r>
        <w:rPr>
          <w:rFonts w:ascii="Times New Roman" w:hAnsi="Times New Roman" w:eastAsia="仿宋" w:cs="Times New Roman"/>
          <w:bCs/>
          <w:color w:val="auto"/>
          <w:sz w:val="32"/>
          <w:szCs w:val="32"/>
        </w:rPr>
        <w:t>3月16日，中心志愿者小组专程慰问赴湖北支援抗疫医疗队队员何蒂同志家属。</w:t>
      </w:r>
    </w:p>
    <w:p>
      <w:pPr>
        <w:ind w:firstLine="660"/>
        <w:rPr>
          <w:rFonts w:ascii="Times New Roman" w:hAnsi="Times New Roman" w:eastAsia="仿宋" w:cs="Times New Roman"/>
          <w:color w:val="auto"/>
          <w:sz w:val="32"/>
          <w:szCs w:val="32"/>
        </w:rPr>
      </w:pPr>
      <w:r>
        <w:rPr>
          <w:rFonts w:ascii="Times New Roman" w:hAnsi="Times New Roman" w:eastAsia="仿宋" w:cs="Times New Roman"/>
          <w:bCs/>
          <w:color w:val="auto"/>
          <w:sz w:val="32"/>
          <w:szCs w:val="32"/>
        </w:rPr>
        <w:t>2.</w:t>
      </w:r>
      <w:r>
        <w:rPr>
          <w:rFonts w:ascii="Times New Roman" w:hAnsi="Times New Roman" w:eastAsia="仿宋" w:cs="Times New Roman"/>
          <w:color w:val="auto"/>
          <w:sz w:val="32"/>
          <w:szCs w:val="32"/>
        </w:rPr>
        <w:t>疫情期间，中心值班员坚持24小时值班值守，特别是疫情初期，人心惶惶，春节延期上班，到处封城封路，大家克服重重困难，坚守岗位。</w:t>
      </w:r>
    </w:p>
    <w:p>
      <w:pPr>
        <w:widowControl/>
        <w:spacing w:line="600" w:lineRule="exact"/>
        <w:ind w:firstLine="601"/>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省局在我中心搭建的广播电视监测调度指挥平台顺利完成，110平的展示大厅宽敞明亮，48块55吋显示屏拼接成40平的大屏，云系统画面，虚拟化数据平台，一体化的机房，既便利了工作的开展，又给人一种技术的美感。现在可监管全省60个无线转播台200多个无线数字电视频道和调频频率；184套IPTV节目和328路二、三级实时节目；144个直播频道、5万小时点播内容。</w:t>
      </w:r>
    </w:p>
    <w:p>
      <w:pPr>
        <w:ind w:firstLine="640" w:firstLineChars="200"/>
        <w:rPr>
          <w:rFonts w:ascii="Times New Roman" w:hAnsi="Times New Roman" w:eastAsia="仿宋" w:cs="Times New Roman"/>
          <w:color w:val="auto"/>
          <w:sz w:val="32"/>
          <w:szCs w:val="32"/>
        </w:rPr>
      </w:pPr>
      <w:r>
        <w:rPr>
          <w:rFonts w:ascii="Times New Roman" w:hAnsi="Times New Roman" w:eastAsia="仿宋_GB2312" w:cs="Times New Roman"/>
          <w:color w:val="auto"/>
          <w:sz w:val="32"/>
          <w:szCs w:val="32"/>
        </w:rPr>
        <w:t>4. 顺利完成</w:t>
      </w:r>
      <w:r>
        <w:rPr>
          <w:rFonts w:ascii="Times New Roman" w:hAnsi="Times New Roman" w:eastAsia="华文仿宋" w:cs="Times New Roman"/>
          <w:color w:val="auto"/>
          <w:sz w:val="32"/>
          <w:szCs w:val="32"/>
        </w:rPr>
        <w:t>全省中波广播系统安全保障工作大检查工作</w:t>
      </w:r>
      <w:r>
        <w:rPr>
          <w:rFonts w:ascii="Times New Roman" w:hAnsi="Times New Roman" w:eastAsia="仿宋" w:cs="Times New Roman"/>
          <w:color w:val="auto"/>
          <w:kern w:val="0"/>
          <w:sz w:val="32"/>
          <w:szCs w:val="32"/>
        </w:rPr>
        <w:t>。</w:t>
      </w:r>
      <w:r>
        <w:rPr>
          <w:rFonts w:ascii="Times New Roman" w:hAnsi="Times New Roman" w:eastAsia="华文仿宋" w:cs="Times New Roman"/>
          <w:color w:val="auto"/>
          <w:sz w:val="30"/>
          <w:szCs w:val="30"/>
        </w:rPr>
        <w:t>7 月 16-29 日，省局以我中心为主组成中波系统检查组，</w:t>
      </w:r>
      <w:r>
        <w:rPr>
          <w:rFonts w:ascii="Times New Roman" w:hAnsi="Times New Roman" w:eastAsia="华文仿宋" w:cs="Times New Roman"/>
          <w:color w:val="auto"/>
          <w:sz w:val="32"/>
          <w:szCs w:val="32"/>
        </w:rPr>
        <w:t>检查全省 15 个中波台，收集汇总了25大项82个问题，下发整改建议书15份。</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（二）经济效益评价</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1．预算执行方面，支出总额控制在预算总额639.27万元以内；2020年度“三公”经费财政拨款支出预算为6万元，支出决算为4.62万元，完成预算的77%。</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2．预算管理方面，制度执行总体较为有效。</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3．资产管理方面，建立了资产管理制度，资产入账及时贴标，定期进行了盘点和资产清理，总体执行较好。</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（三）效率性评价和有效性评价</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预算安排的基本支出保障了正常的工作运转，预算安排的项目支出是非常必要刚性支出，在执行上是严格遵守各项财经纪律的，在项目资金的使用上也是放的心的，严守法律底线、纪律底线、道德底线。</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（四）社会公众满意度评价</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2020年中心认真贯彻落实党的十九大精神，牢固树立“四个意识”，坚定“四个自信”，坚决做到“两个维护”，围绕中心、服务大局，积极适应发展新形势，中心全体干部职工共同努力，不断强化自身能力建设，提高履职尽责的技能与工作效率，各项工作取得了显著进展，圆满完成全年工作任务。</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七、存在的问题及原因分析</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1．预算编制工作有待细化。预算编制不够明确和细化，预算编制的合理性需要提高，预算执行力度还要进一步加强。</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2．公用经费控制有一定难度，基本为刚性支出如因增加设备年年增长的电费等刚性支出。</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八、下一步改进措施</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针对上述存在的问题及对外整体支出管理工作的需要，拟实施的改进措施如下：</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1．细化预算编制工作，认真做好预算的编制。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widowControl/>
        <w:shd w:val="clear" w:color="auto" w:fill="FFFFFF"/>
        <w:spacing w:line="480" w:lineRule="auto"/>
        <w:ind w:firstLine="480"/>
        <w:rPr>
          <w:rFonts w:ascii="Times New Roman" w:hAnsi="Times New Roman" w:eastAsia="仿宋" w:cs="Times New Roman"/>
          <w:color w:val="auto"/>
          <w:kern w:val="0"/>
          <w:sz w:val="30"/>
          <w:szCs w:val="30"/>
        </w:rPr>
      </w:pPr>
      <w:r>
        <w:rPr>
          <w:rFonts w:ascii="Times New Roman" w:hAnsi="Times New Roman" w:eastAsia="仿宋" w:cs="Times New Roman"/>
          <w:color w:val="auto"/>
          <w:kern w:val="0"/>
          <w:sz w:val="30"/>
          <w:szCs w:val="30"/>
        </w:rPr>
        <w:t>4．对财务人员加强培训，特别是针对《预算法》《行政事业单位会计制度》等学习培训，规范部门预算收支核算，切实提高部门预算收支管理水平。</w:t>
      </w:r>
    </w:p>
    <w:p>
      <w:pPr>
        <w:ind w:firstLine="450" w:firstLineChars="15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九、绩效自评结果拟应用和公开情况</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1．根据专项绩效评定指标对各项目量化评价，中心2020年度自评指标得分98分。</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2．通过绩效自评，促进了中心增强责任和效益观念，提高了财政资金支出决策水平和管理水平。</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3. 将项目支出后的实际状况与项目申报的绩效目标进行对比分析。按项目实际支出和项目申报绩效目标进行对比分析自评得分100分，所有项目均与批复下达相符。</w:t>
      </w:r>
    </w:p>
    <w:p>
      <w:pPr>
        <w:pStyle w:val="13"/>
        <w:ind w:left="-138" w:leftChars="-66" w:firstLine="480"/>
        <w:rPr>
          <w:rFonts w:ascii="Times New Roman" w:hAnsi="Times New Roman" w:eastAsia="仿宋" w:cs="Times New Roman"/>
          <w:color w:val="auto"/>
          <w:sz w:val="30"/>
          <w:szCs w:val="30"/>
        </w:rPr>
      </w:pPr>
      <w:r>
        <w:rPr>
          <w:rFonts w:ascii="Times New Roman" w:hAnsi="Times New Roman" w:eastAsia="微软雅黑" w:cs="Times New Roman"/>
          <w:color w:val="auto"/>
          <w:kern w:val="0"/>
          <w:sz w:val="24"/>
          <w:szCs w:val="24"/>
        </w:rPr>
        <w:t xml:space="preserve">                   </w:t>
      </w:r>
      <w:r>
        <w:rPr>
          <w:rFonts w:ascii="Times New Roman" w:hAnsi="Times New Roman" w:eastAsia="仿宋" w:cs="Times New Roman"/>
          <w:color w:val="auto"/>
          <w:sz w:val="30"/>
          <w:szCs w:val="30"/>
        </w:rPr>
        <w:t xml:space="preserve">        </w:t>
      </w:r>
    </w:p>
    <w:p>
      <w:pPr>
        <w:pStyle w:val="13"/>
        <w:ind w:firstLine="3900" w:firstLineChars="13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湖南省广播电视监测与安全播出调度中心</w:t>
      </w:r>
    </w:p>
    <w:p>
      <w:pPr>
        <w:pStyle w:val="13"/>
        <w:ind w:left="-138" w:leftChars="-66" w:firstLine="600"/>
        <w:rPr>
          <w:rFonts w:ascii="Times New Roman" w:hAnsi="Times New Roman" w:eastAsia="仿宋" w:cs="Times New Roman"/>
          <w:color w:val="auto"/>
          <w:sz w:val="30"/>
          <w:szCs w:val="30"/>
        </w:rPr>
      </w:pPr>
      <w:r>
        <w:rPr>
          <w:rFonts w:ascii="Times New Roman" w:hAnsi="Times New Roman" w:eastAsia="仿宋" w:cs="Times New Roman"/>
          <w:color w:val="auto"/>
          <w:sz w:val="30"/>
          <w:szCs w:val="30"/>
        </w:rPr>
        <w:t xml:space="preserve">                                            2021.04.21</w:t>
      </w: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微软雅黑" w:cs="Times New Roman"/>
          <w:color w:val="auto"/>
          <w:kern w:val="0"/>
          <w:sz w:val="24"/>
          <w:szCs w:val="24"/>
        </w:rPr>
      </w:pPr>
    </w:p>
    <w:p>
      <w:pPr>
        <w:widowControl/>
        <w:spacing w:line="48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2"/>
        </w:rPr>
        <w:t xml:space="preserve">附件 </w:t>
      </w:r>
      <w:r>
        <w:rPr>
          <w:rFonts w:hint="eastAsia" w:ascii="Times New Roman" w:hAnsi="Times New Roman" w:eastAsia="宋体" w:cs="Times New Roman"/>
          <w:color w:val="auto"/>
          <w:kern w:val="0"/>
          <w:sz w:val="22"/>
        </w:rPr>
        <w:t>1</w:t>
      </w:r>
    </w:p>
    <w:p>
      <w:pPr>
        <w:spacing w:after="156" w:afterLines="50" w:line="600" w:lineRule="exact"/>
        <w:jc w:val="center"/>
        <w:rPr>
          <w:rFonts w:ascii="Times New Roman" w:hAnsi="Times New Roman" w:eastAsia="仿宋_GB2312" w:cs="Times New Roman"/>
          <w:color w:val="auto"/>
          <w:kern w:val="0"/>
          <w:sz w:val="24"/>
          <w:szCs w:val="24"/>
        </w:rPr>
      </w:pPr>
      <w:r>
        <w:rPr>
          <w:rFonts w:ascii="Times New Roman" w:hAnsi="Times New Roman" w:eastAsia="方正小标宋_GBK" w:cs="Times New Roman"/>
          <w:color w:val="auto"/>
          <w:kern w:val="0"/>
          <w:sz w:val="36"/>
          <w:szCs w:val="36"/>
        </w:rPr>
        <w:t>2020年度部门整体支出绩效评价基础数据表</w:t>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19　</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13　</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68%</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color w:val="auto"/>
                <w:kern w:val="0"/>
                <w:szCs w:val="21"/>
              </w:rPr>
            </w:pPr>
            <w:r>
              <w:rPr>
                <w:rFonts w:ascii="Times New Roman" w:hAnsi="Times New Roman" w:eastAsia="仿宋_GB2312" w:cs="Times New Roman"/>
                <w:b/>
                <w:bCs/>
                <w:color w:val="auto"/>
                <w:kern w:val="0"/>
                <w:szCs w:val="21"/>
              </w:rPr>
              <w:t>2020年决算数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4.97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6.00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4.62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4.49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4.5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4.49</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4.49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4.5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4.49</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0.48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0.13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231.83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370.53（含上年结转88.45）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277.01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74.1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229.53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136.31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157.73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141.00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140.70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2.31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2.28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4.57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4.7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2.76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2.09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1.57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楼堂馆所控制情况</w:t>
            </w:r>
            <w:r>
              <w:rPr>
                <w:rFonts w:ascii="Times New Roman" w:hAnsi="Times New Roman" w:eastAsia="仿宋_GB2312" w:cs="Times New Roman"/>
                <w:color w:val="auto"/>
                <w:kern w:val="0"/>
                <w:szCs w:val="21"/>
              </w:rPr>
              <w:br w:type="textWrapping"/>
            </w:r>
            <w:r>
              <w:rPr>
                <w:rFonts w:ascii="Times New Roman" w:hAnsi="Times New Roman" w:eastAsia="仿宋_GB2312" w:cs="Times New Roman"/>
                <w:color w:val="auto"/>
                <w:kern w:val="0"/>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批复规模</w:t>
            </w:r>
            <w:r>
              <w:rPr>
                <w:rFonts w:ascii="Times New Roman" w:hAnsi="Times New Roman" w:eastAsia="仿宋_GB2312" w:cs="Times New Roman"/>
                <w:bCs/>
                <w:color w:val="auto"/>
                <w:kern w:val="0"/>
                <w:szCs w:val="21"/>
              </w:rPr>
              <w:br w:type="textWrapping"/>
            </w:r>
            <w:r>
              <w:rPr>
                <w:rFonts w:ascii="Times New Roman" w:hAnsi="Times New Roman" w:eastAsia="仿宋_GB2312" w:cs="Times New Roman"/>
                <w:bCs/>
                <w:color w:val="auto"/>
                <w:kern w:val="0"/>
                <w:szCs w:val="21"/>
              </w:rPr>
              <w:t>（</w:t>
            </w:r>
            <w:r>
              <w:rPr>
                <w:rFonts w:ascii="Times New Roman" w:hAnsi="Times New Roman" w:eastAsia="宋体" w:cs="Times New Roman"/>
                <w:bCs/>
                <w:color w:val="auto"/>
                <w:kern w:val="0"/>
                <w:szCs w:val="21"/>
              </w:rPr>
              <w:t>㎡</w:t>
            </w:r>
            <w:r>
              <w:rPr>
                <w:rFonts w:ascii="Times New Roman" w:hAnsi="Times New Roman" w:eastAsia="仿宋_GB2312" w:cs="Times New Roman"/>
                <w:bCs/>
                <w:color w:val="auto"/>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实际规模（</w:t>
            </w:r>
            <w:r>
              <w:rPr>
                <w:rFonts w:ascii="Times New Roman" w:hAnsi="Times New Roman" w:eastAsia="宋体" w:cs="Times New Roman"/>
                <w:bCs/>
                <w:color w:val="auto"/>
                <w:kern w:val="0"/>
                <w:szCs w:val="21"/>
              </w:rPr>
              <w:t>㎡</w:t>
            </w:r>
            <w:r>
              <w:rPr>
                <w:rFonts w:ascii="Times New Roman" w:hAnsi="Times New Roman" w:eastAsia="仿宋_GB2312" w:cs="Times New Roman"/>
                <w:bCs/>
                <w:color w:val="auto"/>
                <w:kern w:val="0"/>
                <w:szCs w:val="21"/>
              </w:rPr>
              <w:t>）</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r>
    </w:tbl>
    <w:p>
      <w:pPr>
        <w:widowControl/>
        <w:jc w:val="left"/>
        <w:rPr>
          <w:rFonts w:ascii="Times New Roman" w:hAnsi="Times New Roman" w:eastAsia="仿宋_GB2312" w:cs="Times New Roman"/>
          <w:color w:val="auto"/>
          <w:kern w:val="0"/>
          <w:sz w:val="22"/>
          <w:szCs w:val="24"/>
        </w:rPr>
      </w:pPr>
      <w:r>
        <w:rPr>
          <w:rFonts w:ascii="Times New Roman" w:hAnsi="Times New Roman" w:eastAsia="仿宋_GB2312" w:cs="Times New Roman"/>
          <w:color w:val="auto"/>
          <w:kern w:val="0"/>
          <w:sz w:val="22"/>
          <w:szCs w:val="24"/>
        </w:rPr>
        <w:t>说明：“项目支出”需要填报基本支出以外的所有项目支出情况，“公用经费”填报基本支出中的一般商品和服务支出。</w:t>
      </w:r>
    </w:p>
    <w:p>
      <w:pPr>
        <w:widowControl/>
        <w:jc w:val="left"/>
        <w:rPr>
          <w:rFonts w:ascii="Times New Roman" w:hAnsi="Times New Roman" w:eastAsia="仿宋_GB2312" w:cs="Times New Roman"/>
          <w:color w:val="auto"/>
          <w:kern w:val="0"/>
          <w:sz w:val="22"/>
          <w:szCs w:val="24"/>
        </w:rPr>
      </w:pPr>
    </w:p>
    <w:p>
      <w:pPr>
        <w:rPr>
          <w:rFonts w:ascii="Times New Roman" w:hAnsi="Times New Roman" w:cs="Times New Roman"/>
          <w:color w:val="auto"/>
        </w:rPr>
      </w:pPr>
      <w:r>
        <w:rPr>
          <w:rFonts w:ascii="Times New Roman" w:hAnsi="Times New Roman" w:eastAsia="仿宋_GB2312" w:cs="Times New Roman"/>
          <w:color w:val="auto"/>
          <w:kern w:val="0"/>
          <w:sz w:val="22"/>
          <w:szCs w:val="24"/>
        </w:rPr>
        <w:t>填表人：胡芳      填报日期： 2021.4.20   联系电话：            单位负责人签字：</w:t>
      </w:r>
      <w:r>
        <w:rPr>
          <w:rFonts w:ascii="Times New Roman" w:hAnsi="Times New Roman" w:eastAsia="仿宋_GB2312" w:cs="Times New Roman"/>
          <w:color w:val="auto"/>
          <w:kern w:val="0"/>
          <w:sz w:val="22"/>
          <w:szCs w:val="24"/>
        </w:rPr>
        <w:br w:type="page"/>
      </w:r>
    </w:p>
    <w:tbl>
      <w:tblPr>
        <w:tblStyle w:val="7"/>
        <w:tblW w:w="9930" w:type="dxa"/>
        <w:tblInd w:w="0" w:type="dxa"/>
        <w:tblLayout w:type="fixed"/>
        <w:tblCellMar>
          <w:top w:w="0" w:type="dxa"/>
          <w:left w:w="0" w:type="dxa"/>
          <w:bottom w:w="0" w:type="dxa"/>
          <w:right w:w="0" w:type="dxa"/>
        </w:tblCellMar>
      </w:tblPr>
      <w:tblGrid>
        <w:gridCol w:w="910"/>
        <w:gridCol w:w="470"/>
        <w:gridCol w:w="1130"/>
        <w:gridCol w:w="2051"/>
        <w:gridCol w:w="879"/>
        <w:gridCol w:w="1521"/>
        <w:gridCol w:w="579"/>
        <w:gridCol w:w="681"/>
        <w:gridCol w:w="1709"/>
      </w:tblGrid>
      <w:tr>
        <w:tblPrEx>
          <w:tblCellMar>
            <w:top w:w="0" w:type="dxa"/>
            <w:left w:w="0" w:type="dxa"/>
            <w:bottom w:w="0" w:type="dxa"/>
            <w:right w:w="0" w:type="dxa"/>
          </w:tblCellMar>
        </w:tblPrEx>
        <w:trPr>
          <w:trHeight w:val="363" w:hRule="atLeast"/>
        </w:trPr>
        <w:tc>
          <w:tcPr>
            <w:tcW w:w="910"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附件 2</w:t>
            </w:r>
          </w:p>
        </w:tc>
        <w:tc>
          <w:tcPr>
            <w:tcW w:w="47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205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8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52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5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6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7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r>
      <w:tr>
        <w:tblPrEx>
          <w:tblCellMar>
            <w:top w:w="0" w:type="dxa"/>
            <w:left w:w="0" w:type="dxa"/>
            <w:bottom w:w="0" w:type="dxa"/>
            <w:right w:w="0" w:type="dxa"/>
          </w:tblCellMar>
        </w:tblPrEx>
        <w:trPr>
          <w:trHeight w:val="363" w:hRule="atLeast"/>
        </w:trPr>
        <w:tc>
          <w:tcPr>
            <w:tcW w:w="91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47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205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8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52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5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6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7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r>
      <w:tr>
        <w:tblPrEx>
          <w:tblCellMar>
            <w:top w:w="0" w:type="dxa"/>
            <w:left w:w="0" w:type="dxa"/>
            <w:bottom w:w="0" w:type="dxa"/>
            <w:right w:w="0" w:type="dxa"/>
          </w:tblCellMar>
        </w:tblPrEx>
        <w:trPr>
          <w:trHeight w:val="710" w:hRule="atLeast"/>
        </w:trPr>
        <w:tc>
          <w:tcPr>
            <w:tcW w:w="9930"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36"/>
                <w:szCs w:val="36"/>
              </w:rPr>
            </w:pPr>
            <w:r>
              <w:rPr>
                <w:rFonts w:hint="eastAsia" w:ascii="宋体" w:hAnsi="宋体" w:eastAsia="宋体" w:cs="宋体"/>
                <w:color w:val="auto"/>
                <w:kern w:val="0"/>
                <w:sz w:val="36"/>
                <w:szCs w:val="36"/>
                <w:lang w:bidi="ar"/>
              </w:rPr>
              <w:t>2020年度部门整体支出绩效自评表</w:t>
            </w:r>
          </w:p>
        </w:tc>
      </w:tr>
      <w:tr>
        <w:tblPrEx>
          <w:tblCellMar>
            <w:top w:w="0" w:type="dxa"/>
            <w:left w:w="0" w:type="dxa"/>
            <w:bottom w:w="0" w:type="dxa"/>
            <w:right w:w="0" w:type="dxa"/>
          </w:tblCellMar>
        </w:tblPrEx>
        <w:trPr>
          <w:trHeight w:val="363" w:hRule="atLeast"/>
        </w:trPr>
        <w:tc>
          <w:tcPr>
            <w:tcW w:w="91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47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205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8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52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5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6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7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r>
      <w:tr>
        <w:tblPrEx>
          <w:tblCellMar>
            <w:top w:w="0" w:type="dxa"/>
            <w:left w:w="0" w:type="dxa"/>
            <w:bottom w:w="0" w:type="dxa"/>
            <w:right w:w="0" w:type="dxa"/>
          </w:tblCellMar>
        </w:tblPrEx>
        <w:trPr>
          <w:trHeight w:val="328"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省级预算</w:t>
            </w:r>
          </w:p>
        </w:tc>
        <w:tc>
          <w:tcPr>
            <w:tcW w:w="902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湖南省广播电视监测与安全播出调度中心</w:t>
            </w: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902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28" w:hRule="atLeast"/>
        </w:trPr>
        <w:tc>
          <w:tcPr>
            <w:tcW w:w="9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年度预算申请（万元）</w:t>
            </w:r>
          </w:p>
        </w:tc>
        <w:tc>
          <w:tcPr>
            <w:tcW w:w="1600"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年初预算数</w:t>
            </w:r>
          </w:p>
        </w:tc>
        <w:tc>
          <w:tcPr>
            <w:tcW w:w="8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全年预算数</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全年执行数</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分值</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执行率</w:t>
            </w: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得分</w:t>
            </w: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600"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600"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600"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年度资金总额</w:t>
            </w:r>
          </w:p>
        </w:tc>
        <w:tc>
          <w:tcPr>
            <w:tcW w:w="2051"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447.67</w:t>
            </w:r>
          </w:p>
        </w:tc>
        <w:tc>
          <w:tcPr>
            <w:tcW w:w="879"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639.27</w:t>
            </w:r>
          </w:p>
        </w:tc>
        <w:tc>
          <w:tcPr>
            <w:tcW w:w="152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528.04</w:t>
            </w:r>
          </w:p>
        </w:tc>
        <w:tc>
          <w:tcPr>
            <w:tcW w:w="57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w:t>
            </w:r>
          </w:p>
        </w:tc>
        <w:tc>
          <w:tcPr>
            <w:tcW w:w="6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83%</w:t>
            </w:r>
          </w:p>
        </w:tc>
        <w:tc>
          <w:tcPr>
            <w:tcW w:w="170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9</w:t>
            </w:r>
          </w:p>
        </w:tc>
      </w:tr>
      <w:tr>
        <w:tblPrEx>
          <w:tblCellMar>
            <w:top w:w="0" w:type="dxa"/>
            <w:left w:w="0" w:type="dxa"/>
            <w:bottom w:w="0" w:type="dxa"/>
            <w:right w:w="0" w:type="dxa"/>
          </w:tblCellMar>
        </w:tblPrEx>
        <w:trPr>
          <w:trHeight w:val="312"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600"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879"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5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57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6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70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628"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按收入性质分：</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按支出性质分：</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8"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其中：一般公共预算：639.27元</w:t>
            </w:r>
          </w:p>
        </w:tc>
        <w:tc>
          <w:tcPr>
            <w:tcW w:w="449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其中：基本支出251.04项目支出：277.01</w:t>
            </w: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政府性基金拨款：</w:t>
            </w:r>
          </w:p>
        </w:tc>
        <w:tc>
          <w:tcPr>
            <w:tcW w:w="449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461"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纳入专户管理的非税收入拨款：</w:t>
            </w:r>
          </w:p>
        </w:tc>
        <w:tc>
          <w:tcPr>
            <w:tcW w:w="4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其他资金：</w:t>
            </w:r>
          </w:p>
        </w:tc>
        <w:tc>
          <w:tcPr>
            <w:tcW w:w="4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年度总体</w:t>
            </w: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预期目标</w:t>
            </w:r>
          </w:p>
        </w:tc>
        <w:tc>
          <w:tcPr>
            <w:tcW w:w="4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实际完成情况</w:t>
            </w: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94%</w:t>
            </w:r>
          </w:p>
        </w:tc>
      </w:tr>
      <w:tr>
        <w:tblPrEx>
          <w:tblCellMar>
            <w:top w:w="0" w:type="dxa"/>
            <w:left w:w="0" w:type="dxa"/>
            <w:bottom w:w="0" w:type="dxa"/>
            <w:right w:w="0" w:type="dxa"/>
          </w:tblCellMar>
        </w:tblPrEx>
        <w:trPr>
          <w:trHeight w:val="72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4953000</wp:posOffset>
                  </wp:positionV>
                  <wp:extent cx="9525" cy="9525"/>
                  <wp:effectExtent l="0" t="0" r="0" b="0"/>
                  <wp:wrapNone/>
                  <wp:docPr id="18" name="Rectangle_338"/>
                  <wp:cNvGraphicFramePr/>
                  <a:graphic xmlns:a="http://schemas.openxmlformats.org/drawingml/2006/main">
                    <a:graphicData uri="http://schemas.openxmlformats.org/drawingml/2006/picture">
                      <pic:pic xmlns:pic="http://schemas.openxmlformats.org/drawingml/2006/picture">
                        <pic:nvPicPr>
                          <pic:cNvPr id="18" name="Rectangle_338"/>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5391150</wp:posOffset>
                  </wp:positionV>
                  <wp:extent cx="9525" cy="9525"/>
                  <wp:effectExtent l="0" t="0" r="0" b="0"/>
                  <wp:wrapNone/>
                  <wp:docPr id="17" name="Rectangle_323"/>
                  <wp:cNvGraphicFramePr/>
                  <a:graphic xmlns:a="http://schemas.openxmlformats.org/drawingml/2006/main">
                    <a:graphicData uri="http://schemas.openxmlformats.org/drawingml/2006/picture">
                      <pic:pic xmlns:pic="http://schemas.openxmlformats.org/drawingml/2006/picture">
                        <pic:nvPicPr>
                          <pic:cNvPr id="17" name="Rectangle_323"/>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5724525</wp:posOffset>
                  </wp:positionV>
                  <wp:extent cx="9525" cy="9525"/>
                  <wp:effectExtent l="0" t="0" r="0" b="0"/>
                  <wp:wrapNone/>
                  <wp:docPr id="12" name="Rectangle_320"/>
                  <wp:cNvGraphicFramePr/>
                  <a:graphic xmlns:a="http://schemas.openxmlformats.org/drawingml/2006/main">
                    <a:graphicData uri="http://schemas.openxmlformats.org/drawingml/2006/picture">
                      <pic:pic xmlns:pic="http://schemas.openxmlformats.org/drawingml/2006/picture">
                        <pic:nvPicPr>
                          <pic:cNvPr id="12" name="Rectangle_320"/>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6610350</wp:posOffset>
                  </wp:positionV>
                  <wp:extent cx="9525" cy="9525"/>
                  <wp:effectExtent l="0" t="0" r="0" b="0"/>
                  <wp:wrapNone/>
                  <wp:docPr id="14" name="Rectangle_283"/>
                  <wp:cNvGraphicFramePr/>
                  <a:graphic xmlns:a="http://schemas.openxmlformats.org/drawingml/2006/main">
                    <a:graphicData uri="http://schemas.openxmlformats.org/drawingml/2006/picture">
                      <pic:pic xmlns:pic="http://schemas.openxmlformats.org/drawingml/2006/picture">
                        <pic:nvPicPr>
                          <pic:cNvPr id="14" name="Rectangle_283"/>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3360" behindDoc="0" locked="0" layoutInCell="1" allowOverlap="1">
                  <wp:simplePos x="0" y="0"/>
                  <wp:positionH relativeFrom="column">
                    <wp:posOffset>85725</wp:posOffset>
                  </wp:positionH>
                  <wp:positionV relativeFrom="paragraph">
                    <wp:posOffset>6829425</wp:posOffset>
                  </wp:positionV>
                  <wp:extent cx="9525" cy="9525"/>
                  <wp:effectExtent l="0" t="0" r="0" b="0"/>
                  <wp:wrapNone/>
                  <wp:docPr id="16" name="Rectangle_289"/>
                  <wp:cNvGraphicFramePr/>
                  <a:graphic xmlns:a="http://schemas.openxmlformats.org/drawingml/2006/main">
                    <a:graphicData uri="http://schemas.openxmlformats.org/drawingml/2006/picture">
                      <pic:pic xmlns:pic="http://schemas.openxmlformats.org/drawingml/2006/picture">
                        <pic:nvPicPr>
                          <pic:cNvPr id="16" name="Rectangle_289"/>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4384" behindDoc="0" locked="0" layoutInCell="1" allowOverlap="1">
                  <wp:simplePos x="0" y="0"/>
                  <wp:positionH relativeFrom="column">
                    <wp:posOffset>676275</wp:posOffset>
                  </wp:positionH>
                  <wp:positionV relativeFrom="paragraph">
                    <wp:posOffset>4953000</wp:posOffset>
                  </wp:positionV>
                  <wp:extent cx="0" cy="9525"/>
                  <wp:effectExtent l="0" t="0" r="0" b="0"/>
                  <wp:wrapNone/>
                  <wp:docPr id="13" name="Rectangle_337"/>
                  <wp:cNvGraphicFramePr/>
                  <a:graphic xmlns:a="http://schemas.openxmlformats.org/drawingml/2006/main">
                    <a:graphicData uri="http://schemas.openxmlformats.org/drawingml/2006/picture">
                      <pic:pic xmlns:pic="http://schemas.openxmlformats.org/drawingml/2006/picture">
                        <pic:nvPicPr>
                          <pic:cNvPr id="13" name="Rectangle_337"/>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5408" behindDoc="0" locked="0" layoutInCell="1" allowOverlap="1">
                  <wp:simplePos x="0" y="0"/>
                  <wp:positionH relativeFrom="column">
                    <wp:posOffset>676275</wp:posOffset>
                  </wp:positionH>
                  <wp:positionV relativeFrom="paragraph">
                    <wp:posOffset>5391150</wp:posOffset>
                  </wp:positionV>
                  <wp:extent cx="0" cy="9525"/>
                  <wp:effectExtent l="0" t="0" r="0" b="0"/>
                  <wp:wrapNone/>
                  <wp:docPr id="10" name="Rectangle_322"/>
                  <wp:cNvGraphicFramePr/>
                  <a:graphic xmlns:a="http://schemas.openxmlformats.org/drawingml/2006/main">
                    <a:graphicData uri="http://schemas.openxmlformats.org/drawingml/2006/picture">
                      <pic:pic xmlns:pic="http://schemas.openxmlformats.org/drawingml/2006/picture">
                        <pic:nvPicPr>
                          <pic:cNvPr id="10" name="Rectangle_322"/>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6432" behindDoc="0" locked="0" layoutInCell="1" allowOverlap="1">
                  <wp:simplePos x="0" y="0"/>
                  <wp:positionH relativeFrom="column">
                    <wp:posOffset>676275</wp:posOffset>
                  </wp:positionH>
                  <wp:positionV relativeFrom="paragraph">
                    <wp:posOffset>6296025</wp:posOffset>
                  </wp:positionV>
                  <wp:extent cx="0" cy="9525"/>
                  <wp:effectExtent l="0" t="0" r="0" b="0"/>
                  <wp:wrapNone/>
                  <wp:docPr id="15" name="Rectangle_288"/>
                  <wp:cNvGraphicFramePr/>
                  <a:graphic xmlns:a="http://schemas.openxmlformats.org/drawingml/2006/main">
                    <a:graphicData uri="http://schemas.openxmlformats.org/drawingml/2006/picture">
                      <pic:pic xmlns:pic="http://schemas.openxmlformats.org/drawingml/2006/picture">
                        <pic:nvPicPr>
                          <pic:cNvPr id="15" name="Rectangle_288"/>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7456" behindDoc="0" locked="0" layoutInCell="1" allowOverlap="1">
                  <wp:simplePos x="0" y="0"/>
                  <wp:positionH relativeFrom="column">
                    <wp:posOffset>676275</wp:posOffset>
                  </wp:positionH>
                  <wp:positionV relativeFrom="paragraph">
                    <wp:posOffset>6610350</wp:posOffset>
                  </wp:positionV>
                  <wp:extent cx="0" cy="9525"/>
                  <wp:effectExtent l="0" t="0" r="0" b="0"/>
                  <wp:wrapNone/>
                  <wp:docPr id="11" name="Rectangle_282"/>
                  <wp:cNvGraphicFramePr/>
                  <a:graphic xmlns:a="http://schemas.openxmlformats.org/drawingml/2006/main">
                    <a:graphicData uri="http://schemas.openxmlformats.org/drawingml/2006/picture">
                      <pic:pic xmlns:pic="http://schemas.openxmlformats.org/drawingml/2006/picture">
                        <pic:nvPicPr>
                          <pic:cNvPr id="11" name="Rectangle_282"/>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lang w:bidi="ar"/>
              </w:rPr>
              <w:t>绩效指标</w:t>
            </w:r>
          </w:p>
        </w:tc>
        <w:tc>
          <w:tcPr>
            <w:tcW w:w="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一级指标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二级指标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三级指标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年度指标值</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实际完成值</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分值</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得分</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偏差原因分析及改进措施</w:t>
            </w: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产出指标（50分）</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数量指标</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指标1：安播监测及日常化工作</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1个</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6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指标2：新预警指挥大厅（单频网配套项目</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1个</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1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指标3：无线监测、调度平台及预警信息发布平台维护项目</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3套</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1229"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指标4：安全播出预警信息系统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1个</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50%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2020年终下达指标后按照政府采购流程完成政府采购，预计2021年完成项目投入使用</w:t>
            </w: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质量指标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1：日常安播监测数据完成及日常工作完成率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2：新预警指挥大厅系统建设完成合格率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指标3：维护后的设施设备验收合格率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指标4：预警系统安装到位率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80%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3</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按照政府采购流程系统及设备2021年上</w:t>
            </w: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时效指标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1：满时间度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2：资金全部到位率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3：资金全部到位率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4：资金全部到位率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成本指标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1：日常工作及人员成本</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2：资金使用率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3：维护支出成本</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68480" behindDoc="0" locked="0" layoutInCell="1" allowOverlap="1">
                  <wp:simplePos x="0" y="0"/>
                  <wp:positionH relativeFrom="column">
                    <wp:posOffset>676275</wp:posOffset>
                  </wp:positionH>
                  <wp:positionV relativeFrom="paragraph">
                    <wp:posOffset>1838325</wp:posOffset>
                  </wp:positionV>
                  <wp:extent cx="0" cy="9525"/>
                  <wp:effectExtent l="0" t="0" r="0" b="0"/>
                  <wp:wrapNone/>
                  <wp:docPr id="5" name="Rectangle_287"/>
                  <wp:cNvGraphicFramePr/>
                  <a:graphic xmlns:a="http://schemas.openxmlformats.org/drawingml/2006/main">
                    <a:graphicData uri="http://schemas.openxmlformats.org/drawingml/2006/picture">
                      <pic:pic xmlns:pic="http://schemas.openxmlformats.org/drawingml/2006/picture">
                        <pic:nvPicPr>
                          <pic:cNvPr id="5" name="Rectangle_287"/>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69504" behindDoc="0" locked="0" layoutInCell="1" allowOverlap="1">
                  <wp:simplePos x="0" y="0"/>
                  <wp:positionH relativeFrom="column">
                    <wp:posOffset>676275</wp:posOffset>
                  </wp:positionH>
                  <wp:positionV relativeFrom="paragraph">
                    <wp:posOffset>2152650</wp:posOffset>
                  </wp:positionV>
                  <wp:extent cx="0" cy="9525"/>
                  <wp:effectExtent l="0" t="0" r="0" b="0"/>
                  <wp:wrapNone/>
                  <wp:docPr id="3" name="Rectangle_281"/>
                  <wp:cNvGraphicFramePr/>
                  <a:graphic xmlns:a="http://schemas.openxmlformats.org/drawingml/2006/main">
                    <a:graphicData uri="http://schemas.openxmlformats.org/drawingml/2006/picture">
                      <pic:pic xmlns:pic="http://schemas.openxmlformats.org/drawingml/2006/picture">
                        <pic:nvPicPr>
                          <pic:cNvPr id="3" name="Rectangle_281"/>
                          <pic:cNvPicPr/>
                        </pic:nvPicPr>
                        <pic:blipFill>
                          <a:blip r:embed="rId5"/>
                          <a:stretch>
                            <a:fillRect/>
                          </a:stretch>
                        </pic:blipFill>
                        <pic:spPr>
                          <a:xfrm>
                            <a:off x="0" y="0"/>
                            <a:ext cx="0" cy="9525"/>
                          </a:xfrm>
                          <a:prstGeom prst="rect">
                            <a:avLst/>
                          </a:prstGeom>
                          <a:noFill/>
                          <a:ln>
                            <a:noFill/>
                          </a:ln>
                        </pic:spPr>
                      </pic:pic>
                    </a:graphicData>
                  </a:graphic>
                </wp:anchor>
              </w:drawing>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指标4：设备安装成本率</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50%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按照合同2021年设备到位</w:t>
            </w: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0528" behindDoc="0" locked="0" layoutInCell="1" allowOverlap="1">
                  <wp:simplePos x="0" y="0"/>
                  <wp:positionH relativeFrom="column">
                    <wp:posOffset>600075</wp:posOffset>
                  </wp:positionH>
                  <wp:positionV relativeFrom="paragraph">
                    <wp:posOffset>323850</wp:posOffset>
                  </wp:positionV>
                  <wp:extent cx="9525" cy="9525"/>
                  <wp:effectExtent l="0" t="0" r="0" b="0"/>
                  <wp:wrapNone/>
                  <wp:docPr id="2" name="Rectangle_336"/>
                  <wp:cNvGraphicFramePr/>
                  <a:graphic xmlns:a="http://schemas.openxmlformats.org/drawingml/2006/main">
                    <a:graphicData uri="http://schemas.openxmlformats.org/drawingml/2006/picture">
                      <pic:pic xmlns:pic="http://schemas.openxmlformats.org/drawingml/2006/picture">
                        <pic:nvPicPr>
                          <pic:cNvPr id="2" name="Rectangle_336"/>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经济效益指标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1：安播监测服务工作</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1552" behindDoc="0" locked="0" layoutInCell="1" allowOverlap="1">
                  <wp:simplePos x="0" y="0"/>
                  <wp:positionH relativeFrom="column">
                    <wp:posOffset>19050</wp:posOffset>
                  </wp:positionH>
                  <wp:positionV relativeFrom="paragraph">
                    <wp:posOffset>152400</wp:posOffset>
                  </wp:positionV>
                  <wp:extent cx="9525" cy="9525"/>
                  <wp:effectExtent l="0" t="0" r="0" b="0"/>
                  <wp:wrapNone/>
                  <wp:docPr id="6" name="Rectangle_335"/>
                  <wp:cNvGraphicFramePr/>
                  <a:graphic xmlns:a="http://schemas.openxmlformats.org/drawingml/2006/main">
                    <a:graphicData uri="http://schemas.openxmlformats.org/drawingml/2006/picture">
                      <pic:pic xmlns:pic="http://schemas.openxmlformats.org/drawingml/2006/picture">
                        <pic:nvPicPr>
                          <pic:cNvPr id="6" name="Rectangle_335"/>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2：平台使用</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2576" behindDoc="0" locked="0" layoutInCell="1" allowOverlap="1">
                  <wp:simplePos x="0" y="0"/>
                  <wp:positionH relativeFrom="column">
                    <wp:posOffset>285750</wp:posOffset>
                  </wp:positionH>
                  <wp:positionV relativeFrom="paragraph">
                    <wp:posOffset>152400</wp:posOffset>
                  </wp:positionV>
                  <wp:extent cx="9525" cy="9525"/>
                  <wp:effectExtent l="0" t="0" r="0" b="0"/>
                  <wp:wrapNone/>
                  <wp:docPr id="4" name="Rectangle_333"/>
                  <wp:cNvGraphicFramePr/>
                  <a:graphic xmlns:a="http://schemas.openxmlformats.org/drawingml/2006/main">
                    <a:graphicData uri="http://schemas.openxmlformats.org/drawingml/2006/picture">
                      <pic:pic xmlns:pic="http://schemas.openxmlformats.org/drawingml/2006/picture">
                        <pic:nvPicPr>
                          <pic:cNvPr id="4" name="Rectangle_333"/>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3600" behindDoc="0" locked="0" layoutInCell="1" allowOverlap="1">
                  <wp:simplePos x="0" y="0"/>
                  <wp:positionH relativeFrom="column">
                    <wp:posOffset>47625</wp:posOffset>
                  </wp:positionH>
                  <wp:positionV relativeFrom="paragraph">
                    <wp:posOffset>152400</wp:posOffset>
                  </wp:positionV>
                  <wp:extent cx="9525" cy="9525"/>
                  <wp:effectExtent l="0" t="0" r="0" b="0"/>
                  <wp:wrapNone/>
                  <wp:docPr id="9" name="Rectangle_332"/>
                  <wp:cNvGraphicFramePr/>
                  <a:graphic xmlns:a="http://schemas.openxmlformats.org/drawingml/2006/main">
                    <a:graphicData uri="http://schemas.openxmlformats.org/drawingml/2006/picture">
                      <pic:pic xmlns:pic="http://schemas.openxmlformats.org/drawingml/2006/picture">
                        <pic:nvPicPr>
                          <pic:cNvPr id="9" name="Rectangle_332"/>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74624" behindDoc="0" locked="0" layoutInCell="1" allowOverlap="1">
                  <wp:simplePos x="0" y="0"/>
                  <wp:positionH relativeFrom="column">
                    <wp:posOffset>285750</wp:posOffset>
                  </wp:positionH>
                  <wp:positionV relativeFrom="paragraph">
                    <wp:posOffset>152400</wp:posOffset>
                  </wp:positionV>
                  <wp:extent cx="9525" cy="9525"/>
                  <wp:effectExtent l="0" t="0" r="0" b="0"/>
                  <wp:wrapNone/>
                  <wp:docPr id="8" name="Rectangle_333_SpCnt_1"/>
                  <wp:cNvGraphicFramePr/>
                  <a:graphic xmlns:a="http://schemas.openxmlformats.org/drawingml/2006/main">
                    <a:graphicData uri="http://schemas.openxmlformats.org/drawingml/2006/picture">
                      <pic:pic xmlns:pic="http://schemas.openxmlformats.org/drawingml/2006/picture">
                        <pic:nvPicPr>
                          <pic:cNvPr id="8" name="Rectangle_333_SpCnt_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75648" behindDoc="0" locked="0" layoutInCell="1" allowOverlap="1">
                  <wp:simplePos x="0" y="0"/>
                  <wp:positionH relativeFrom="column">
                    <wp:posOffset>676275</wp:posOffset>
                  </wp:positionH>
                  <wp:positionV relativeFrom="paragraph">
                    <wp:posOffset>152400</wp:posOffset>
                  </wp:positionV>
                  <wp:extent cx="229235" cy="9525"/>
                  <wp:effectExtent l="0" t="0" r="0" b="0"/>
                  <wp:wrapNone/>
                  <wp:docPr id="7" name="Rectangle_331"/>
                  <wp:cNvGraphicFramePr/>
                  <a:graphic xmlns:a="http://schemas.openxmlformats.org/drawingml/2006/main">
                    <a:graphicData uri="http://schemas.openxmlformats.org/drawingml/2006/picture">
                      <pic:pic xmlns:pic="http://schemas.openxmlformats.org/drawingml/2006/picture">
                        <pic:nvPicPr>
                          <pic:cNvPr id="7" name="Rectangle_331"/>
                          <pic:cNvPicPr/>
                        </pic:nvPicPr>
                        <pic:blipFill>
                          <a:blip r:embed="rId6"/>
                          <a:stretch>
                            <a:fillRect/>
                          </a:stretch>
                        </pic:blipFill>
                        <pic:spPr>
                          <a:xfrm>
                            <a:off x="0" y="0"/>
                            <a:ext cx="22923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3：设备更新替换</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6672" behindDoc="0" locked="0" layoutInCell="1" allowOverlap="1">
                  <wp:simplePos x="0" y="0"/>
                  <wp:positionH relativeFrom="column">
                    <wp:posOffset>19050</wp:posOffset>
                  </wp:positionH>
                  <wp:positionV relativeFrom="paragraph">
                    <wp:posOffset>152400</wp:posOffset>
                  </wp:positionV>
                  <wp:extent cx="9525" cy="9525"/>
                  <wp:effectExtent l="0" t="0" r="0" b="0"/>
                  <wp:wrapNone/>
                  <wp:docPr id="1" name="Rectangle_335_SpCnt_1"/>
                  <wp:cNvGraphicFramePr/>
                  <a:graphic xmlns:a="http://schemas.openxmlformats.org/drawingml/2006/main">
                    <a:graphicData uri="http://schemas.openxmlformats.org/drawingml/2006/picture">
                      <pic:pic xmlns:pic="http://schemas.openxmlformats.org/drawingml/2006/picture">
                        <pic:nvPicPr>
                          <pic:cNvPr id="1" name="Rectangle_335_SpCnt_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4：服务安播日常工作</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6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社会效益指标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1：加强安播监测调度工作</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指标2：提升公共服务水平</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3：保障设备正常使用</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指标4：保障地市及时收到总局精神</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62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7696" behindDoc="0" locked="0" layoutInCell="1" allowOverlap="1">
                  <wp:simplePos x="0" y="0"/>
                  <wp:positionH relativeFrom="column">
                    <wp:posOffset>600075</wp:posOffset>
                  </wp:positionH>
                  <wp:positionV relativeFrom="paragraph">
                    <wp:posOffset>438150</wp:posOffset>
                  </wp:positionV>
                  <wp:extent cx="9525" cy="9525"/>
                  <wp:effectExtent l="0" t="0" r="0" b="0"/>
                  <wp:wrapNone/>
                  <wp:docPr id="21" name="Rectangle_280"/>
                  <wp:cNvGraphicFramePr/>
                  <a:graphic xmlns:a="http://schemas.openxmlformats.org/drawingml/2006/main">
                    <a:graphicData uri="http://schemas.openxmlformats.org/drawingml/2006/picture">
                      <pic:pic xmlns:pic="http://schemas.openxmlformats.org/drawingml/2006/picture">
                        <pic:nvPicPr>
                          <pic:cNvPr id="21" name="Rectangle_280"/>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生态效益指标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1：对广播电视的发展帮助度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8720" behindDoc="0" locked="0" layoutInCell="1" allowOverlap="1">
                  <wp:simplePos x="0" y="0"/>
                  <wp:positionH relativeFrom="column">
                    <wp:posOffset>85725</wp:posOffset>
                  </wp:positionH>
                  <wp:positionV relativeFrom="paragraph">
                    <wp:posOffset>95250</wp:posOffset>
                  </wp:positionV>
                  <wp:extent cx="9525" cy="9525"/>
                  <wp:effectExtent l="0" t="0" r="0" b="0"/>
                  <wp:wrapNone/>
                  <wp:docPr id="20" name="Rectangle_279"/>
                  <wp:cNvGraphicFramePr/>
                  <a:graphic xmlns:a="http://schemas.openxmlformats.org/drawingml/2006/main">
                    <a:graphicData uri="http://schemas.openxmlformats.org/drawingml/2006/picture">
                      <pic:pic xmlns:pic="http://schemas.openxmlformats.org/drawingml/2006/picture">
                        <pic:nvPicPr>
                          <pic:cNvPr id="20" name="Rectangle_279"/>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2：对安播建设的帮助</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79744" behindDoc="0" locked="0" layoutInCell="1" allowOverlap="1">
                  <wp:simplePos x="0" y="0"/>
                  <wp:positionH relativeFrom="column">
                    <wp:posOffset>285750</wp:posOffset>
                  </wp:positionH>
                  <wp:positionV relativeFrom="paragraph">
                    <wp:posOffset>95250</wp:posOffset>
                  </wp:positionV>
                  <wp:extent cx="9525" cy="9525"/>
                  <wp:effectExtent l="0" t="0" r="0" b="0"/>
                  <wp:wrapNone/>
                  <wp:docPr id="23" name="Rectangle_277"/>
                  <wp:cNvGraphicFramePr/>
                  <a:graphic xmlns:a="http://schemas.openxmlformats.org/drawingml/2006/main">
                    <a:graphicData uri="http://schemas.openxmlformats.org/drawingml/2006/picture">
                      <pic:pic xmlns:pic="http://schemas.openxmlformats.org/drawingml/2006/picture">
                        <pic:nvPicPr>
                          <pic:cNvPr id="23" name="Rectangle_277"/>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80768" behindDoc="0" locked="0" layoutInCell="1" allowOverlap="1">
                  <wp:simplePos x="0" y="0"/>
                  <wp:positionH relativeFrom="column">
                    <wp:posOffset>47625</wp:posOffset>
                  </wp:positionH>
                  <wp:positionV relativeFrom="paragraph">
                    <wp:posOffset>95250</wp:posOffset>
                  </wp:positionV>
                  <wp:extent cx="9525" cy="9525"/>
                  <wp:effectExtent l="0" t="0" r="0" b="0"/>
                  <wp:wrapNone/>
                  <wp:docPr id="22" name="Rectangle_276"/>
                  <wp:cNvGraphicFramePr/>
                  <a:graphic xmlns:a="http://schemas.openxmlformats.org/drawingml/2006/main">
                    <a:graphicData uri="http://schemas.openxmlformats.org/drawingml/2006/picture">
                      <pic:pic xmlns:pic="http://schemas.openxmlformats.org/drawingml/2006/picture">
                        <pic:nvPicPr>
                          <pic:cNvPr id="22" name="Rectangle_276"/>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1792" behindDoc="0" locked="0" layoutInCell="1" allowOverlap="1">
                  <wp:simplePos x="0" y="0"/>
                  <wp:positionH relativeFrom="column">
                    <wp:posOffset>676275</wp:posOffset>
                  </wp:positionH>
                  <wp:positionV relativeFrom="paragraph">
                    <wp:posOffset>95250</wp:posOffset>
                  </wp:positionV>
                  <wp:extent cx="229235" cy="9525"/>
                  <wp:effectExtent l="0" t="0" r="0" b="0"/>
                  <wp:wrapNone/>
                  <wp:docPr id="19" name="Rectangle_275"/>
                  <wp:cNvGraphicFramePr/>
                  <a:graphic xmlns:a="http://schemas.openxmlformats.org/drawingml/2006/main">
                    <a:graphicData uri="http://schemas.openxmlformats.org/drawingml/2006/picture">
                      <pic:pic xmlns:pic="http://schemas.openxmlformats.org/drawingml/2006/picture">
                        <pic:nvPicPr>
                          <pic:cNvPr id="19" name="Rectangle_275"/>
                          <pic:cNvPicPr/>
                        </pic:nvPicPr>
                        <pic:blipFill>
                          <a:blip r:embed="rId6"/>
                          <a:stretch>
                            <a:fillRect/>
                          </a:stretch>
                        </pic:blipFill>
                        <pic:spPr>
                          <a:xfrm>
                            <a:off x="0" y="0"/>
                            <a:ext cx="22923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3：对安播建设的帮助</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82816" behindDoc="0" locked="0" layoutInCell="1" allowOverlap="1">
                  <wp:simplePos x="0" y="0"/>
                  <wp:positionH relativeFrom="column">
                    <wp:posOffset>85725</wp:posOffset>
                  </wp:positionH>
                  <wp:positionV relativeFrom="paragraph">
                    <wp:posOffset>95250</wp:posOffset>
                  </wp:positionV>
                  <wp:extent cx="9525" cy="9525"/>
                  <wp:effectExtent l="0" t="0" r="0" b="0"/>
                  <wp:wrapNone/>
                  <wp:docPr id="47" name="Rectangle_279_SpCnt_1"/>
                  <wp:cNvGraphicFramePr/>
                  <a:graphic xmlns:a="http://schemas.openxmlformats.org/drawingml/2006/main">
                    <a:graphicData uri="http://schemas.openxmlformats.org/drawingml/2006/picture">
                      <pic:pic xmlns:pic="http://schemas.openxmlformats.org/drawingml/2006/picture">
                        <pic:nvPicPr>
                          <pic:cNvPr id="47" name="Rectangle_279_SpCnt_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4：对安播调度工作的帮助</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良</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 cy="9525"/>
                  <wp:effectExtent l="0" t="0" r="0" b="0"/>
                  <wp:wrapNone/>
                  <wp:docPr id="44" name="Rectangle_241"/>
                  <wp:cNvGraphicFramePr/>
                  <a:graphic xmlns:a="http://schemas.openxmlformats.org/drawingml/2006/main">
                    <a:graphicData uri="http://schemas.openxmlformats.org/drawingml/2006/picture">
                      <pic:pic xmlns:pic="http://schemas.openxmlformats.org/drawingml/2006/picture">
                        <pic:nvPicPr>
                          <pic:cNvPr id="44" name="Rectangle_24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4864" behindDoc="0" locked="0" layoutInCell="1" allowOverlap="1">
                  <wp:simplePos x="0" y="0"/>
                  <wp:positionH relativeFrom="column">
                    <wp:posOffset>0</wp:posOffset>
                  </wp:positionH>
                  <wp:positionV relativeFrom="paragraph">
                    <wp:posOffset>19050</wp:posOffset>
                  </wp:positionV>
                  <wp:extent cx="9525" cy="9525"/>
                  <wp:effectExtent l="0" t="0" r="0" b="0"/>
                  <wp:wrapNone/>
                  <wp:docPr id="42" name="Rectangle_253"/>
                  <wp:cNvGraphicFramePr/>
                  <a:graphic xmlns:a="http://schemas.openxmlformats.org/drawingml/2006/main">
                    <a:graphicData uri="http://schemas.openxmlformats.org/drawingml/2006/picture">
                      <pic:pic xmlns:pic="http://schemas.openxmlformats.org/drawingml/2006/picture">
                        <pic:nvPicPr>
                          <pic:cNvPr id="42" name="Rectangle_253"/>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5888" behindDoc="0" locked="0" layoutInCell="1" allowOverlap="1">
                  <wp:simplePos x="0" y="0"/>
                  <wp:positionH relativeFrom="column">
                    <wp:posOffset>0</wp:posOffset>
                  </wp:positionH>
                  <wp:positionV relativeFrom="paragraph">
                    <wp:posOffset>152400</wp:posOffset>
                  </wp:positionV>
                  <wp:extent cx="9525" cy="9525"/>
                  <wp:effectExtent l="0" t="0" r="0" b="0"/>
                  <wp:wrapNone/>
                  <wp:docPr id="41" name="Rectangle_238"/>
                  <wp:cNvGraphicFramePr/>
                  <a:graphic xmlns:a="http://schemas.openxmlformats.org/drawingml/2006/main">
                    <a:graphicData uri="http://schemas.openxmlformats.org/drawingml/2006/picture">
                      <pic:pic xmlns:pic="http://schemas.openxmlformats.org/drawingml/2006/picture">
                        <pic:nvPicPr>
                          <pic:cNvPr id="41" name="Rectangle_238"/>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6912" behindDoc="0" locked="0" layoutInCell="1" allowOverlap="1">
                  <wp:simplePos x="0" y="0"/>
                  <wp:positionH relativeFrom="column">
                    <wp:posOffset>0</wp:posOffset>
                  </wp:positionH>
                  <wp:positionV relativeFrom="paragraph">
                    <wp:posOffset>1943100</wp:posOffset>
                  </wp:positionV>
                  <wp:extent cx="9525" cy="9525"/>
                  <wp:effectExtent l="0" t="0" r="0" b="0"/>
                  <wp:wrapNone/>
                  <wp:docPr id="49" name="Rectangle_196"/>
                  <wp:cNvGraphicFramePr/>
                  <a:graphic xmlns:a="http://schemas.openxmlformats.org/drawingml/2006/main">
                    <a:graphicData uri="http://schemas.openxmlformats.org/drawingml/2006/picture">
                      <pic:pic xmlns:pic="http://schemas.openxmlformats.org/drawingml/2006/picture">
                        <pic:nvPicPr>
                          <pic:cNvPr id="49" name="Rectangle_196"/>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7936" behindDoc="0" locked="0" layoutInCell="1" allowOverlap="1">
                  <wp:simplePos x="0" y="0"/>
                  <wp:positionH relativeFrom="column">
                    <wp:posOffset>676275</wp:posOffset>
                  </wp:positionH>
                  <wp:positionV relativeFrom="paragraph">
                    <wp:posOffset>0</wp:posOffset>
                  </wp:positionV>
                  <wp:extent cx="0" cy="9525"/>
                  <wp:effectExtent l="0" t="0" r="0" b="0"/>
                  <wp:wrapNone/>
                  <wp:docPr id="39" name="Rectangle_240"/>
                  <wp:cNvGraphicFramePr/>
                  <a:graphic xmlns:a="http://schemas.openxmlformats.org/drawingml/2006/main">
                    <a:graphicData uri="http://schemas.openxmlformats.org/drawingml/2006/picture">
                      <pic:pic xmlns:pic="http://schemas.openxmlformats.org/drawingml/2006/picture">
                        <pic:nvPicPr>
                          <pic:cNvPr id="39" name="Rectangle_240"/>
                          <pic:cNvPicPr/>
                        </pic:nvPicPr>
                        <pic:blipFill>
                          <a:blip r:embed="rId7"/>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8960" behindDoc="0" locked="0" layoutInCell="1" allowOverlap="1">
                  <wp:simplePos x="0" y="0"/>
                  <wp:positionH relativeFrom="column">
                    <wp:posOffset>676275</wp:posOffset>
                  </wp:positionH>
                  <wp:positionV relativeFrom="paragraph">
                    <wp:posOffset>19050</wp:posOffset>
                  </wp:positionV>
                  <wp:extent cx="0" cy="9525"/>
                  <wp:effectExtent l="0" t="0" r="0" b="0"/>
                  <wp:wrapNone/>
                  <wp:docPr id="50" name="Rectangle_252"/>
                  <wp:cNvGraphicFramePr/>
                  <a:graphic xmlns:a="http://schemas.openxmlformats.org/drawingml/2006/main">
                    <a:graphicData uri="http://schemas.openxmlformats.org/drawingml/2006/picture">
                      <pic:pic xmlns:pic="http://schemas.openxmlformats.org/drawingml/2006/picture">
                        <pic:nvPicPr>
                          <pic:cNvPr id="50" name="Rectangle_252"/>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89984" behindDoc="0" locked="0" layoutInCell="1" allowOverlap="1">
                  <wp:simplePos x="0" y="0"/>
                  <wp:positionH relativeFrom="column">
                    <wp:posOffset>676275</wp:posOffset>
                  </wp:positionH>
                  <wp:positionV relativeFrom="paragraph">
                    <wp:posOffset>152400</wp:posOffset>
                  </wp:positionV>
                  <wp:extent cx="0" cy="9525"/>
                  <wp:effectExtent l="0" t="0" r="0" b="0"/>
                  <wp:wrapNone/>
                  <wp:docPr id="43" name="Rectangle_237"/>
                  <wp:cNvGraphicFramePr/>
                  <a:graphic xmlns:a="http://schemas.openxmlformats.org/drawingml/2006/main">
                    <a:graphicData uri="http://schemas.openxmlformats.org/drawingml/2006/picture">
                      <pic:pic xmlns:pic="http://schemas.openxmlformats.org/drawingml/2006/picture">
                        <pic:nvPicPr>
                          <pic:cNvPr id="43" name="Rectangle_237"/>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91008" behindDoc="0" locked="0" layoutInCell="1" allowOverlap="1">
                  <wp:simplePos x="0" y="0"/>
                  <wp:positionH relativeFrom="column">
                    <wp:posOffset>676275</wp:posOffset>
                  </wp:positionH>
                  <wp:positionV relativeFrom="paragraph">
                    <wp:posOffset>1943100</wp:posOffset>
                  </wp:positionV>
                  <wp:extent cx="0" cy="9525"/>
                  <wp:effectExtent l="0" t="0" r="0" b="0"/>
                  <wp:wrapNone/>
                  <wp:docPr id="40" name="Rectangle_195"/>
                  <wp:cNvGraphicFramePr/>
                  <a:graphic xmlns:a="http://schemas.openxmlformats.org/drawingml/2006/main">
                    <a:graphicData uri="http://schemas.openxmlformats.org/drawingml/2006/picture">
                      <pic:pic xmlns:pic="http://schemas.openxmlformats.org/drawingml/2006/picture">
                        <pic:nvPicPr>
                          <pic:cNvPr id="40" name="Rectangle_195"/>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lang w:bidi="ar"/>
              </w:rPr>
              <w:t>绩效指标</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92032" behindDoc="0" locked="0" layoutInCell="1" allowOverlap="1">
                  <wp:simplePos x="0" y="0"/>
                  <wp:positionH relativeFrom="column">
                    <wp:posOffset>676275</wp:posOffset>
                  </wp:positionH>
                  <wp:positionV relativeFrom="paragraph">
                    <wp:posOffset>19050</wp:posOffset>
                  </wp:positionV>
                  <wp:extent cx="0" cy="9525"/>
                  <wp:effectExtent l="0" t="0" r="0" b="0"/>
                  <wp:wrapNone/>
                  <wp:docPr id="45" name="Rectangle_251"/>
                  <wp:cNvGraphicFramePr/>
                  <a:graphic xmlns:a="http://schemas.openxmlformats.org/drawingml/2006/main">
                    <a:graphicData uri="http://schemas.openxmlformats.org/drawingml/2006/picture">
                      <pic:pic xmlns:pic="http://schemas.openxmlformats.org/drawingml/2006/picture">
                        <pic:nvPicPr>
                          <pic:cNvPr id="45" name="Rectangle_251"/>
                          <pic:cNvPicPr/>
                        </pic:nvPicPr>
                        <pic:blipFill>
                          <a:blip r:embed="rId5"/>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93056" behindDoc="0" locked="0" layoutInCell="1" allowOverlap="1">
                  <wp:simplePos x="0" y="0"/>
                  <wp:positionH relativeFrom="column">
                    <wp:posOffset>676275</wp:posOffset>
                  </wp:positionH>
                  <wp:positionV relativeFrom="paragraph">
                    <wp:posOffset>342900</wp:posOffset>
                  </wp:positionV>
                  <wp:extent cx="0" cy="9525"/>
                  <wp:effectExtent l="0" t="0" r="0" b="0"/>
                  <wp:wrapNone/>
                  <wp:docPr id="48" name="Rectangle_239"/>
                  <wp:cNvGraphicFramePr/>
                  <a:graphic xmlns:a="http://schemas.openxmlformats.org/drawingml/2006/main">
                    <a:graphicData uri="http://schemas.openxmlformats.org/drawingml/2006/picture">
                      <pic:pic xmlns:pic="http://schemas.openxmlformats.org/drawingml/2006/picture">
                        <pic:nvPicPr>
                          <pic:cNvPr id="48" name="Rectangle_239"/>
                          <pic:cNvPicPr/>
                        </pic:nvPicPr>
                        <pic:blipFill>
                          <a:blip r:embed="rId7"/>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94080" behindDoc="0" locked="0" layoutInCell="1" allowOverlap="1">
                  <wp:simplePos x="0" y="0"/>
                  <wp:positionH relativeFrom="column">
                    <wp:posOffset>676275</wp:posOffset>
                  </wp:positionH>
                  <wp:positionV relativeFrom="paragraph">
                    <wp:posOffset>495300</wp:posOffset>
                  </wp:positionV>
                  <wp:extent cx="0" cy="9525"/>
                  <wp:effectExtent l="0" t="0" r="0" b="0"/>
                  <wp:wrapNone/>
                  <wp:docPr id="46" name="Rectangle_236"/>
                  <wp:cNvGraphicFramePr/>
                  <a:graphic xmlns:a="http://schemas.openxmlformats.org/drawingml/2006/main">
                    <a:graphicData uri="http://schemas.openxmlformats.org/drawingml/2006/picture">
                      <pic:pic xmlns:pic="http://schemas.openxmlformats.org/drawingml/2006/picture">
                        <pic:nvPicPr>
                          <pic:cNvPr id="46" name="Rectangle_236"/>
                          <pic:cNvPicPr/>
                        </pic:nvPicPr>
                        <pic:blipFill>
                          <a:blip r:embed="rId7"/>
                          <a:stretch>
                            <a:fillRect/>
                          </a:stretch>
                        </pic:blipFill>
                        <pic:spPr>
                          <a:xfrm>
                            <a:off x="0" y="0"/>
                            <a:ext cx="0" cy="9525"/>
                          </a:xfrm>
                          <a:prstGeom prst="rect">
                            <a:avLst/>
                          </a:prstGeom>
                          <a:noFill/>
                          <a:ln>
                            <a:noFill/>
                          </a:ln>
                        </pic:spPr>
                      </pic:pic>
                    </a:graphicData>
                  </a:graphic>
                </wp:anchor>
              </w:drawing>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95104" behindDoc="0" locked="0" layoutInCell="1" allowOverlap="1">
                  <wp:simplePos x="0" y="0"/>
                  <wp:positionH relativeFrom="column">
                    <wp:posOffset>600075</wp:posOffset>
                  </wp:positionH>
                  <wp:positionV relativeFrom="paragraph">
                    <wp:posOffset>19050</wp:posOffset>
                  </wp:positionV>
                  <wp:extent cx="9525" cy="9525"/>
                  <wp:effectExtent l="0" t="0" r="0" b="0"/>
                  <wp:wrapNone/>
                  <wp:docPr id="27" name="Rectangle_250"/>
                  <wp:cNvGraphicFramePr/>
                  <a:graphic xmlns:a="http://schemas.openxmlformats.org/drawingml/2006/main">
                    <a:graphicData uri="http://schemas.openxmlformats.org/drawingml/2006/picture">
                      <pic:pic xmlns:pic="http://schemas.openxmlformats.org/drawingml/2006/picture">
                        <pic:nvPicPr>
                          <pic:cNvPr id="27" name="Rectangle_250"/>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696128" behindDoc="0" locked="0" layoutInCell="1" allowOverlap="1">
                  <wp:simplePos x="0" y="0"/>
                  <wp:positionH relativeFrom="column">
                    <wp:posOffset>600075</wp:posOffset>
                  </wp:positionH>
                  <wp:positionV relativeFrom="paragraph">
                    <wp:posOffset>495300</wp:posOffset>
                  </wp:positionV>
                  <wp:extent cx="9525" cy="9525"/>
                  <wp:effectExtent l="0" t="0" r="0" b="0"/>
                  <wp:wrapNone/>
                  <wp:docPr id="35" name="Rectangle_235"/>
                  <wp:cNvGraphicFramePr/>
                  <a:graphic xmlns:a="http://schemas.openxmlformats.org/drawingml/2006/main">
                    <a:graphicData uri="http://schemas.openxmlformats.org/drawingml/2006/picture">
                      <pic:pic xmlns:pic="http://schemas.openxmlformats.org/drawingml/2006/picture">
                        <pic:nvPicPr>
                          <pic:cNvPr id="35" name="Rectangle_235"/>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可持续影响指标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97152" behindDoc="0" locked="0" layoutInCell="1" allowOverlap="1">
                  <wp:simplePos x="0" y="0"/>
                  <wp:positionH relativeFrom="column">
                    <wp:posOffset>85725</wp:posOffset>
                  </wp:positionH>
                  <wp:positionV relativeFrom="paragraph">
                    <wp:posOffset>19050</wp:posOffset>
                  </wp:positionV>
                  <wp:extent cx="9525" cy="9525"/>
                  <wp:effectExtent l="0" t="0" r="0" b="0"/>
                  <wp:wrapNone/>
                  <wp:docPr id="24" name="Rectangle_249"/>
                  <wp:cNvGraphicFramePr/>
                  <a:graphic xmlns:a="http://schemas.openxmlformats.org/drawingml/2006/main">
                    <a:graphicData uri="http://schemas.openxmlformats.org/drawingml/2006/picture">
                      <pic:pic xmlns:pic="http://schemas.openxmlformats.org/drawingml/2006/picture">
                        <pic:nvPicPr>
                          <pic:cNvPr id="24" name="Rectangle_249"/>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1：完善国家应急广播调度控制平台建设</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98176" behindDoc="0" locked="0" layoutInCell="1" allowOverlap="1">
                  <wp:simplePos x="0" y="0"/>
                  <wp:positionH relativeFrom="column">
                    <wp:posOffset>285750</wp:posOffset>
                  </wp:positionH>
                  <wp:positionV relativeFrom="paragraph">
                    <wp:posOffset>19050</wp:posOffset>
                  </wp:positionV>
                  <wp:extent cx="9525" cy="9525"/>
                  <wp:effectExtent l="0" t="0" r="0" b="0"/>
                  <wp:wrapNone/>
                  <wp:docPr id="33" name="Rectangle_247"/>
                  <wp:cNvGraphicFramePr/>
                  <a:graphic xmlns:a="http://schemas.openxmlformats.org/drawingml/2006/main">
                    <a:graphicData uri="http://schemas.openxmlformats.org/drawingml/2006/picture">
                      <pic:pic xmlns:pic="http://schemas.openxmlformats.org/drawingml/2006/picture">
                        <pic:nvPicPr>
                          <pic:cNvPr id="33" name="Rectangle_247"/>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699200" behindDoc="0" locked="0" layoutInCell="1" allowOverlap="1">
                  <wp:simplePos x="0" y="0"/>
                  <wp:positionH relativeFrom="column">
                    <wp:posOffset>47625</wp:posOffset>
                  </wp:positionH>
                  <wp:positionV relativeFrom="paragraph">
                    <wp:posOffset>19050</wp:posOffset>
                  </wp:positionV>
                  <wp:extent cx="9525" cy="9525"/>
                  <wp:effectExtent l="0" t="0" r="0" b="0"/>
                  <wp:wrapNone/>
                  <wp:docPr id="32" name="Rectangle_246"/>
                  <wp:cNvGraphicFramePr/>
                  <a:graphic xmlns:a="http://schemas.openxmlformats.org/drawingml/2006/main">
                    <a:graphicData uri="http://schemas.openxmlformats.org/drawingml/2006/picture">
                      <pic:pic xmlns:pic="http://schemas.openxmlformats.org/drawingml/2006/picture">
                        <pic:nvPicPr>
                          <pic:cNvPr id="32" name="Rectangle_246"/>
                          <pic:cNvPicPr/>
                        </pic:nvPicPr>
                        <pic:blipFill>
                          <a:blip r:embed="rId8"/>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700224" behindDoc="0" locked="0" layoutInCell="1" allowOverlap="1">
                  <wp:simplePos x="0" y="0"/>
                  <wp:positionH relativeFrom="column">
                    <wp:posOffset>676275</wp:posOffset>
                  </wp:positionH>
                  <wp:positionV relativeFrom="paragraph">
                    <wp:posOffset>19050</wp:posOffset>
                  </wp:positionV>
                  <wp:extent cx="229235" cy="9525"/>
                  <wp:effectExtent l="0" t="0" r="0" b="0"/>
                  <wp:wrapNone/>
                  <wp:docPr id="37" name="Rectangle_245"/>
                  <wp:cNvGraphicFramePr/>
                  <a:graphic xmlns:a="http://schemas.openxmlformats.org/drawingml/2006/main">
                    <a:graphicData uri="http://schemas.openxmlformats.org/drawingml/2006/picture">
                      <pic:pic xmlns:pic="http://schemas.openxmlformats.org/drawingml/2006/picture">
                        <pic:nvPicPr>
                          <pic:cNvPr id="37" name="Rectangle_245"/>
                          <pic:cNvPicPr/>
                        </pic:nvPicPr>
                        <pic:blipFill>
                          <a:blip r:embed="rId6"/>
                          <a:stretch>
                            <a:fillRect/>
                          </a:stretch>
                        </pic:blipFill>
                        <pic:spPr>
                          <a:xfrm>
                            <a:off x="0" y="0"/>
                            <a:ext cx="22923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1248" behindDoc="0" locked="0" layoutInCell="1" allowOverlap="1">
                  <wp:simplePos x="0" y="0"/>
                  <wp:positionH relativeFrom="column">
                    <wp:posOffset>85725</wp:posOffset>
                  </wp:positionH>
                  <wp:positionV relativeFrom="paragraph">
                    <wp:posOffset>152400</wp:posOffset>
                  </wp:positionV>
                  <wp:extent cx="9525" cy="9525"/>
                  <wp:effectExtent l="0" t="0" r="0" b="0"/>
                  <wp:wrapNone/>
                  <wp:docPr id="29" name="Rectangle_234"/>
                  <wp:cNvGraphicFramePr/>
                  <a:graphic xmlns:a="http://schemas.openxmlformats.org/drawingml/2006/main">
                    <a:graphicData uri="http://schemas.openxmlformats.org/drawingml/2006/picture">
                      <pic:pic xmlns:pic="http://schemas.openxmlformats.org/drawingml/2006/picture">
                        <pic:nvPicPr>
                          <pic:cNvPr id="29" name="Rectangle_234"/>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2：完善国家应急广播调度控制平台建设</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2272" behindDoc="0" locked="0" layoutInCell="1" allowOverlap="1">
                  <wp:simplePos x="0" y="0"/>
                  <wp:positionH relativeFrom="column">
                    <wp:posOffset>285750</wp:posOffset>
                  </wp:positionH>
                  <wp:positionV relativeFrom="paragraph">
                    <wp:posOffset>152400</wp:posOffset>
                  </wp:positionV>
                  <wp:extent cx="9525" cy="9525"/>
                  <wp:effectExtent l="0" t="0" r="0" b="0"/>
                  <wp:wrapNone/>
                  <wp:docPr id="30" name="Rectangle_232"/>
                  <wp:cNvGraphicFramePr/>
                  <a:graphic xmlns:a="http://schemas.openxmlformats.org/drawingml/2006/main">
                    <a:graphicData uri="http://schemas.openxmlformats.org/drawingml/2006/picture">
                      <pic:pic xmlns:pic="http://schemas.openxmlformats.org/drawingml/2006/picture">
                        <pic:nvPicPr>
                          <pic:cNvPr id="30" name="Rectangle_232"/>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3296" behindDoc="0" locked="0" layoutInCell="1" allowOverlap="1">
                  <wp:simplePos x="0" y="0"/>
                  <wp:positionH relativeFrom="column">
                    <wp:posOffset>47625</wp:posOffset>
                  </wp:positionH>
                  <wp:positionV relativeFrom="paragraph">
                    <wp:posOffset>152400</wp:posOffset>
                  </wp:positionV>
                  <wp:extent cx="9525" cy="9525"/>
                  <wp:effectExtent l="0" t="0" r="0" b="0"/>
                  <wp:wrapNone/>
                  <wp:docPr id="31" name="Rectangle_231"/>
                  <wp:cNvGraphicFramePr/>
                  <a:graphic xmlns:a="http://schemas.openxmlformats.org/drawingml/2006/main">
                    <a:graphicData uri="http://schemas.openxmlformats.org/drawingml/2006/picture">
                      <pic:pic xmlns:pic="http://schemas.openxmlformats.org/drawingml/2006/picture">
                        <pic:nvPicPr>
                          <pic:cNvPr id="31" name="Rectangle_23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704320" behindDoc="0" locked="0" layoutInCell="1" allowOverlap="1">
                  <wp:simplePos x="0" y="0"/>
                  <wp:positionH relativeFrom="column">
                    <wp:posOffset>676275</wp:posOffset>
                  </wp:positionH>
                  <wp:positionV relativeFrom="paragraph">
                    <wp:posOffset>152400</wp:posOffset>
                  </wp:positionV>
                  <wp:extent cx="229235" cy="9525"/>
                  <wp:effectExtent l="0" t="0" r="0" b="0"/>
                  <wp:wrapNone/>
                  <wp:docPr id="36" name="Rectangle_230"/>
                  <wp:cNvGraphicFramePr/>
                  <a:graphic xmlns:a="http://schemas.openxmlformats.org/drawingml/2006/main">
                    <a:graphicData uri="http://schemas.openxmlformats.org/drawingml/2006/picture">
                      <pic:pic xmlns:pic="http://schemas.openxmlformats.org/drawingml/2006/picture">
                        <pic:nvPicPr>
                          <pic:cNvPr id="36" name="Rectangle_230"/>
                          <pic:cNvPicPr/>
                        </pic:nvPicPr>
                        <pic:blipFill>
                          <a:blip r:embed="rId6"/>
                          <a:stretch>
                            <a:fillRect/>
                          </a:stretch>
                        </pic:blipFill>
                        <pic:spPr>
                          <a:xfrm>
                            <a:off x="0" y="0"/>
                            <a:ext cx="229235" cy="9525"/>
                          </a:xfrm>
                          <a:prstGeom prst="rect">
                            <a:avLst/>
                          </a:prstGeom>
                          <a:noFill/>
                          <a:ln>
                            <a:noFill/>
                          </a:ln>
                        </pic:spPr>
                      </pic:pic>
                    </a:graphicData>
                  </a:graphic>
                </wp:anchor>
              </w:drawing>
            </w: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5344" behindDoc="0" locked="0" layoutInCell="1" allowOverlap="1">
                  <wp:simplePos x="0" y="0"/>
                  <wp:positionH relativeFrom="column">
                    <wp:posOffset>85725</wp:posOffset>
                  </wp:positionH>
                  <wp:positionV relativeFrom="paragraph">
                    <wp:posOffset>19050</wp:posOffset>
                  </wp:positionV>
                  <wp:extent cx="9525" cy="9525"/>
                  <wp:effectExtent l="0" t="0" r="0" b="0"/>
                  <wp:wrapNone/>
                  <wp:docPr id="26" name="Rectangle_249_SpCnt_1"/>
                  <wp:cNvGraphicFramePr/>
                  <a:graphic xmlns:a="http://schemas.openxmlformats.org/drawingml/2006/main">
                    <a:graphicData uri="http://schemas.openxmlformats.org/drawingml/2006/picture">
                      <pic:pic xmlns:pic="http://schemas.openxmlformats.org/drawingml/2006/picture">
                        <pic:nvPicPr>
                          <pic:cNvPr id="26" name="Rectangle_249_SpCnt_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 3：完善国家应急广播调度控制平台建设</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72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6368" behindDoc="0" locked="0" layoutInCell="1" allowOverlap="1">
                  <wp:simplePos x="0" y="0"/>
                  <wp:positionH relativeFrom="column">
                    <wp:posOffset>85725</wp:posOffset>
                  </wp:positionH>
                  <wp:positionV relativeFrom="paragraph">
                    <wp:posOffset>152400</wp:posOffset>
                  </wp:positionV>
                  <wp:extent cx="9525" cy="9525"/>
                  <wp:effectExtent l="0" t="0" r="0" b="0"/>
                  <wp:wrapNone/>
                  <wp:docPr id="34" name="Rectangle_234_SpCnt_1"/>
                  <wp:cNvGraphicFramePr/>
                  <a:graphic xmlns:a="http://schemas.openxmlformats.org/drawingml/2006/main">
                    <a:graphicData uri="http://schemas.openxmlformats.org/drawingml/2006/picture">
                      <pic:pic xmlns:pic="http://schemas.openxmlformats.org/drawingml/2006/picture">
                        <pic:nvPicPr>
                          <pic:cNvPr id="34" name="Rectangle_234_SpCnt_1"/>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707392" behindDoc="0" locked="0" layoutInCell="1" allowOverlap="1">
                  <wp:simplePos x="0" y="0"/>
                  <wp:positionH relativeFrom="column">
                    <wp:posOffset>85725</wp:posOffset>
                  </wp:positionH>
                  <wp:positionV relativeFrom="paragraph">
                    <wp:posOffset>152400</wp:posOffset>
                  </wp:positionV>
                  <wp:extent cx="9525" cy="9525"/>
                  <wp:effectExtent l="0" t="0" r="0" b="0"/>
                  <wp:wrapNone/>
                  <wp:docPr id="38" name="Rectangle_234_SpCnt_2"/>
                  <wp:cNvGraphicFramePr/>
                  <a:graphic xmlns:a="http://schemas.openxmlformats.org/drawingml/2006/main">
                    <a:graphicData uri="http://schemas.openxmlformats.org/drawingml/2006/picture">
                      <pic:pic xmlns:pic="http://schemas.openxmlformats.org/drawingml/2006/picture">
                        <pic:nvPicPr>
                          <pic:cNvPr id="38" name="Rectangle_234_SpCnt_2"/>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宋体" w:hAnsi="宋体" w:eastAsia="宋体" w:cs="宋体"/>
                <w:color w:val="auto"/>
                <w:kern w:val="0"/>
                <w:sz w:val="22"/>
                <w:lang w:bidi="ar"/>
              </w:rPr>
              <w:t>指标4：完善国家应急广播调度控制平台建设</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优秀</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良</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929"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bdr w:val="single" w:color="000000" w:sz="4" w:space="0"/>
              </w:rPr>
              <w:drawing>
                <wp:anchor distT="0" distB="0" distL="114300" distR="114300" simplePos="0" relativeHeight="251708416" behindDoc="0" locked="0" layoutInCell="1" allowOverlap="1">
                  <wp:simplePos x="0" y="0"/>
                  <wp:positionH relativeFrom="column">
                    <wp:posOffset>676275</wp:posOffset>
                  </wp:positionH>
                  <wp:positionV relativeFrom="paragraph">
                    <wp:posOffset>47625</wp:posOffset>
                  </wp:positionV>
                  <wp:extent cx="0" cy="9525"/>
                  <wp:effectExtent l="0" t="0" r="0" b="0"/>
                  <wp:wrapNone/>
                  <wp:docPr id="28" name="Rectangle_197"/>
                  <wp:cNvGraphicFramePr/>
                  <a:graphic xmlns:a="http://schemas.openxmlformats.org/drawingml/2006/main">
                    <a:graphicData uri="http://schemas.openxmlformats.org/drawingml/2006/picture">
                      <pic:pic xmlns:pic="http://schemas.openxmlformats.org/drawingml/2006/picture">
                        <pic:nvPicPr>
                          <pic:cNvPr id="28" name="Rectangle_197"/>
                          <pic:cNvPicPr/>
                        </pic:nvPicPr>
                        <pic:blipFill>
                          <a:blip r:embed="rId7"/>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bdr w:val="single" w:color="000000" w:sz="4" w:space="0"/>
              </w:rPr>
              <w:drawing>
                <wp:anchor distT="0" distB="0" distL="114300" distR="114300" simplePos="0" relativeHeight="251709440" behindDoc="0" locked="0" layoutInCell="1" allowOverlap="1">
                  <wp:simplePos x="0" y="0"/>
                  <wp:positionH relativeFrom="column">
                    <wp:posOffset>676275</wp:posOffset>
                  </wp:positionH>
                  <wp:positionV relativeFrom="paragraph">
                    <wp:posOffset>571500</wp:posOffset>
                  </wp:positionV>
                  <wp:extent cx="0" cy="9525"/>
                  <wp:effectExtent l="0" t="0" r="0" b="0"/>
                  <wp:wrapNone/>
                  <wp:docPr id="25" name="Rectangle_194"/>
                  <wp:cNvGraphicFramePr/>
                  <a:graphic xmlns:a="http://schemas.openxmlformats.org/drawingml/2006/main">
                    <a:graphicData uri="http://schemas.openxmlformats.org/drawingml/2006/picture">
                      <pic:pic xmlns:pic="http://schemas.openxmlformats.org/drawingml/2006/picture">
                        <pic:nvPicPr>
                          <pic:cNvPr id="25" name="Rectangle_194"/>
                          <pic:cNvPicPr/>
                        </pic:nvPicPr>
                        <pic:blipFill>
                          <a:blip r:embed="rId7"/>
                          <a:stretch>
                            <a:fillRect/>
                          </a:stretch>
                        </pic:blipFill>
                        <pic:spPr>
                          <a:xfrm>
                            <a:off x="0" y="0"/>
                            <a:ext cx="0" cy="9525"/>
                          </a:xfrm>
                          <a:prstGeom prst="rect">
                            <a:avLst/>
                          </a:prstGeom>
                          <a:noFill/>
                          <a:ln>
                            <a:noFill/>
                          </a:ln>
                        </pic:spPr>
                      </pic:pic>
                    </a:graphicData>
                  </a:graphic>
                </wp:anchor>
              </w:drawing>
            </w:r>
            <w:r>
              <w:rPr>
                <w:rFonts w:hint="eastAsia" w:ascii="宋体" w:hAnsi="宋体" w:eastAsia="宋体" w:cs="宋体"/>
                <w:color w:val="auto"/>
                <w:kern w:val="0"/>
                <w:sz w:val="22"/>
                <w:lang w:bidi="ar"/>
              </w:rPr>
              <w:t>满意度指标（10分）</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服务对象满意度指标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指标1：群众满意度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 2：群众满意度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指标3：群众满意度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指标4：群众满意度</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2</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374" w:hRule="atLeast"/>
        </w:trPr>
        <w:tc>
          <w:tcPr>
            <w:tcW w:w="696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总分</w:t>
            </w:r>
          </w:p>
        </w:tc>
        <w:tc>
          <w:tcPr>
            <w:tcW w:w="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100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rPr>
            </w:pPr>
            <w:r>
              <w:rPr>
                <w:rFonts w:hint="eastAsia" w:ascii="宋体" w:hAnsi="宋体" w:eastAsia="宋体" w:cs="宋体"/>
                <w:color w:val="auto"/>
                <w:kern w:val="0"/>
                <w:sz w:val="22"/>
                <w:lang w:bidi="ar"/>
              </w:rPr>
              <w:t>94</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rPr>
            </w:pPr>
          </w:p>
        </w:tc>
      </w:tr>
      <w:tr>
        <w:tblPrEx>
          <w:tblCellMar>
            <w:top w:w="0" w:type="dxa"/>
            <w:left w:w="0" w:type="dxa"/>
            <w:bottom w:w="0" w:type="dxa"/>
            <w:right w:w="0" w:type="dxa"/>
          </w:tblCellMar>
        </w:tblPrEx>
        <w:trPr>
          <w:trHeight w:val="962" w:hRule="atLeast"/>
        </w:trPr>
        <w:tc>
          <w:tcPr>
            <w:tcW w:w="91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47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1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205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8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52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5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6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7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r>
      <w:tr>
        <w:tblPrEx>
          <w:tblCellMar>
            <w:top w:w="0" w:type="dxa"/>
            <w:left w:w="0" w:type="dxa"/>
            <w:bottom w:w="0" w:type="dxa"/>
            <w:right w:w="0" w:type="dxa"/>
          </w:tblCellMar>
        </w:tblPrEx>
        <w:trPr>
          <w:trHeight w:val="363" w:hRule="atLeast"/>
        </w:trPr>
        <w:tc>
          <w:tcPr>
            <w:tcW w:w="910"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填表人：</w:t>
            </w:r>
          </w:p>
        </w:tc>
        <w:tc>
          <w:tcPr>
            <w:tcW w:w="47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r>
              <w:rPr>
                <w:rFonts w:ascii="Times New Roman" w:hAnsi="Times New Roman" w:eastAsia="仿宋_GB2312" w:cs="Times New Roman"/>
                <w:color w:val="auto"/>
                <w:kern w:val="0"/>
                <w:sz w:val="22"/>
                <w:szCs w:val="24"/>
              </w:rPr>
              <w:t>胡芳</w:t>
            </w:r>
          </w:p>
        </w:tc>
        <w:tc>
          <w:tcPr>
            <w:tcW w:w="1130"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填报日期：</w:t>
            </w:r>
          </w:p>
        </w:tc>
        <w:tc>
          <w:tcPr>
            <w:tcW w:w="205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r>
              <w:rPr>
                <w:rFonts w:ascii="Times New Roman" w:hAnsi="Times New Roman" w:eastAsia="仿宋_GB2312" w:cs="Times New Roman"/>
                <w:color w:val="auto"/>
                <w:kern w:val="0"/>
                <w:sz w:val="22"/>
                <w:szCs w:val="24"/>
              </w:rPr>
              <w:t>2021.4.20</w:t>
            </w:r>
          </w:p>
        </w:tc>
        <w:tc>
          <w:tcPr>
            <w:tcW w:w="8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521"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auto"/>
                <w:sz w:val="22"/>
              </w:rPr>
            </w:pPr>
            <w:r>
              <w:rPr>
                <w:rFonts w:hint="eastAsia" w:ascii="宋体" w:hAnsi="宋体" w:eastAsia="宋体" w:cs="宋体"/>
                <w:color w:val="auto"/>
                <w:kern w:val="0"/>
                <w:sz w:val="22"/>
                <w:lang w:bidi="ar"/>
              </w:rPr>
              <w:t>单位负责人签字：</w:t>
            </w:r>
          </w:p>
        </w:tc>
        <w:tc>
          <w:tcPr>
            <w:tcW w:w="57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68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c>
          <w:tcPr>
            <w:tcW w:w="170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auto"/>
                <w:sz w:val="22"/>
              </w:rPr>
            </w:pPr>
          </w:p>
        </w:tc>
      </w:tr>
    </w:tbl>
    <w:p>
      <w:pPr>
        <w:widowControl/>
        <w:spacing w:line="480" w:lineRule="auto"/>
        <w:ind w:firstLine="480"/>
        <w:rPr>
          <w:rFonts w:ascii="Times New Roman" w:hAnsi="Times New Roman" w:eastAsia="微软雅黑" w:cs="Times New Roman"/>
          <w:color w:val="auto"/>
          <w:kern w:val="0"/>
          <w:sz w:val="24"/>
          <w:szCs w:val="24"/>
        </w:rPr>
      </w:pPr>
    </w:p>
    <w:p>
      <w:pPr>
        <w:ind w:left="5812"/>
        <w:rPr>
          <w:rFonts w:ascii="Times New Roman" w:hAnsi="Times New Roman" w:eastAsia="仿宋" w:cs="Times New Roman"/>
          <w:color w:val="auto"/>
          <w:sz w:val="30"/>
          <w:szCs w:val="30"/>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eastAsia="宋体" w:cs="Times New Roman"/>
          <w:color w:val="auto"/>
          <w:kern w:val="0"/>
          <w:sz w:val="32"/>
          <w:szCs w:val="20"/>
        </w:rPr>
      </w:pPr>
      <w:r>
        <w:rPr>
          <w:rFonts w:ascii="Times New Roman" w:hAnsi="Times New Roman" w:eastAsia="宋体" w:cs="Times New Roman"/>
          <w:color w:val="auto"/>
          <w:kern w:val="0"/>
          <w:sz w:val="32"/>
          <w:szCs w:val="20"/>
        </w:rPr>
        <w:br w:type="page"/>
      </w:r>
    </w:p>
    <w:p>
      <w:pPr>
        <w:widowControl/>
        <w:spacing w:line="366" w:lineRule="exact"/>
        <w:ind w:left="560"/>
        <w:jc w:val="left"/>
        <w:rPr>
          <w:rFonts w:ascii="Times New Roman" w:hAnsi="Times New Roman" w:eastAsia="宋体" w:cs="Times New Roman"/>
          <w:color w:val="auto"/>
          <w:kern w:val="0"/>
          <w:sz w:val="32"/>
          <w:szCs w:val="20"/>
        </w:rPr>
      </w:pPr>
      <w:r>
        <w:rPr>
          <w:rFonts w:ascii="Times New Roman" w:hAnsi="Times New Roman" w:eastAsia="宋体" w:cs="Times New Roman"/>
          <w:color w:val="auto"/>
          <w:kern w:val="0"/>
          <w:sz w:val="32"/>
          <w:szCs w:val="20"/>
        </w:rPr>
        <w:t>附件 3</w:t>
      </w:r>
    </w:p>
    <w:p>
      <w:pPr>
        <w:widowControl/>
        <w:spacing w:line="171" w:lineRule="exact"/>
        <w:jc w:val="left"/>
        <w:rPr>
          <w:rFonts w:ascii="Times New Roman" w:hAnsi="Times New Roman" w:eastAsia="Times New Roman" w:cs="Times New Roman"/>
          <w:color w:val="auto"/>
          <w:kern w:val="0"/>
          <w:sz w:val="20"/>
          <w:szCs w:val="20"/>
        </w:rPr>
      </w:pPr>
    </w:p>
    <w:p>
      <w:pPr>
        <w:widowControl/>
        <w:spacing w:line="411" w:lineRule="exact"/>
        <w:jc w:val="center"/>
        <w:rPr>
          <w:rFonts w:ascii="Times New Roman" w:hAnsi="Times New Roman" w:eastAsia="宋体" w:cs="Times New Roman"/>
          <w:color w:val="auto"/>
          <w:kern w:val="0"/>
          <w:sz w:val="36"/>
          <w:szCs w:val="20"/>
        </w:rPr>
      </w:pPr>
      <w:r>
        <w:rPr>
          <w:rFonts w:ascii="Times New Roman" w:hAnsi="Times New Roman" w:eastAsia="宋体" w:cs="Times New Roman"/>
          <w:color w:val="auto"/>
          <w:kern w:val="0"/>
          <w:sz w:val="36"/>
          <w:szCs w:val="20"/>
        </w:rPr>
        <w:t>2020年度项目支出绩效自评表</w:t>
      </w:r>
    </w:p>
    <w:p>
      <w:pPr>
        <w:widowControl/>
        <w:spacing w:line="118" w:lineRule="exact"/>
        <w:jc w:val="left"/>
        <w:rPr>
          <w:rFonts w:ascii="Times New Roman" w:hAnsi="Times New Roman" w:eastAsia="Times New Roman" w:cs="Times New Roman"/>
          <w:color w:val="auto"/>
          <w:kern w:val="0"/>
          <w:sz w:val="20"/>
          <w:szCs w:val="20"/>
        </w:rPr>
      </w:pPr>
    </w:p>
    <w:tbl>
      <w:tblPr>
        <w:tblStyle w:val="7"/>
        <w:tblW w:w="9880" w:type="dxa"/>
        <w:tblInd w:w="10" w:type="dxa"/>
        <w:tblLayout w:type="fixed"/>
        <w:tblCellMar>
          <w:top w:w="0" w:type="dxa"/>
          <w:left w:w="0" w:type="dxa"/>
          <w:bottom w:w="0" w:type="dxa"/>
          <w:right w:w="0" w:type="dxa"/>
        </w:tblCellMar>
      </w:tblPr>
      <w:tblGrid>
        <w:gridCol w:w="1096"/>
        <w:gridCol w:w="1078"/>
        <w:gridCol w:w="1078"/>
        <w:gridCol w:w="30"/>
        <w:gridCol w:w="40"/>
        <w:gridCol w:w="998"/>
        <w:gridCol w:w="160"/>
        <w:gridCol w:w="51"/>
        <w:gridCol w:w="30"/>
        <w:gridCol w:w="1067"/>
        <w:gridCol w:w="998"/>
        <w:gridCol w:w="140"/>
        <w:gridCol w:w="818"/>
        <w:gridCol w:w="878"/>
        <w:gridCol w:w="1418"/>
      </w:tblGrid>
      <w:tr>
        <w:tblPrEx>
          <w:tblCellMar>
            <w:top w:w="0" w:type="dxa"/>
            <w:left w:w="0" w:type="dxa"/>
            <w:bottom w:w="0" w:type="dxa"/>
            <w:right w:w="0" w:type="dxa"/>
          </w:tblCellMar>
        </w:tblPrEx>
        <w:trPr>
          <w:trHeight w:val="218" w:hRule="atLeast"/>
        </w:trPr>
        <w:tc>
          <w:tcPr>
            <w:tcW w:w="1096" w:type="dxa"/>
            <w:tcBorders>
              <w:top w:val="single" w:color="auto" w:sz="8" w:space="0"/>
              <w:left w:val="single" w:color="auto" w:sz="8" w:space="0"/>
              <w:right w:val="single" w:color="auto" w:sz="8" w:space="0"/>
            </w:tcBorders>
            <w:shd w:val="clear" w:color="auto" w:fill="auto"/>
            <w:vAlign w:val="bottom"/>
          </w:tcPr>
          <w:p>
            <w:pPr>
              <w:widowControl/>
              <w:spacing w:line="218"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项目支</w:t>
            </w:r>
          </w:p>
        </w:tc>
        <w:tc>
          <w:tcPr>
            <w:tcW w:w="10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0"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60"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148" w:type="dxa"/>
            <w:gridSpan w:val="3"/>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0"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1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18" w:type="dxa"/>
            <w:tcBorders>
              <w:top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260" w:hRule="atLeast"/>
        </w:trPr>
        <w:tc>
          <w:tcPr>
            <w:tcW w:w="1096"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出名称</w:t>
            </w:r>
          </w:p>
        </w:tc>
        <w:tc>
          <w:tcPr>
            <w:tcW w:w="4532" w:type="dxa"/>
            <w:gridSpan w:val="9"/>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宋体" w:cs="Times New Roman"/>
                <w:color w:val="auto"/>
                <w:kern w:val="0"/>
                <w:sz w:val="22"/>
                <w:szCs w:val="20"/>
              </w:rPr>
              <w:t>无线监测、安播调度平台及消防设备维护</w:t>
            </w: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0"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18"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78"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6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48"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200" w:lineRule="exact"/>
              <w:ind w:left="1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主管部门</w:t>
            </w:r>
          </w:p>
        </w:tc>
        <w:tc>
          <w:tcPr>
            <w:tcW w:w="4532" w:type="dxa"/>
            <w:gridSpan w:val="9"/>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湖南省广播电视局</w:t>
            </w:r>
          </w:p>
        </w:tc>
        <w:tc>
          <w:tcPr>
            <w:tcW w:w="998" w:type="dxa"/>
            <w:shd w:val="clear" w:color="auto" w:fill="auto"/>
            <w:vAlign w:val="bottom"/>
          </w:tcPr>
          <w:p>
            <w:pPr>
              <w:widowControl/>
              <w:spacing w:line="200" w:lineRule="exact"/>
              <w:ind w:left="1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实施单位</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114" w:type="dxa"/>
            <w:gridSpan w:val="3"/>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湖南省广播电视监测与安全播出调度中心</w:t>
            </w: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年初</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998" w:type="dxa"/>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8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执行率</w:t>
            </w:r>
          </w:p>
        </w:tc>
        <w:tc>
          <w:tcPr>
            <w:tcW w:w="141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r>
      <w:tr>
        <w:tblPrEx>
          <w:tblCellMar>
            <w:top w:w="0" w:type="dxa"/>
            <w:left w:w="0" w:type="dxa"/>
            <w:bottom w:w="0" w:type="dxa"/>
            <w:right w:w="0" w:type="dxa"/>
          </w:tblCellMar>
        </w:tblPrEx>
        <w:trPr>
          <w:trHeight w:val="13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49" w:type="dxa"/>
            <w:gridSpan w:val="4"/>
            <w:vMerge w:val="restart"/>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执行数</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49" w:type="dxa"/>
            <w:gridSpan w:val="4"/>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21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项目资金</w:t>
            </w:r>
          </w:p>
        </w:tc>
        <w:tc>
          <w:tcPr>
            <w:tcW w:w="2156" w:type="dxa"/>
            <w:gridSpan w:val="2"/>
            <w:tcBorders>
              <w:right w:val="single" w:color="auto" w:sz="8" w:space="0"/>
            </w:tcBorders>
            <w:shd w:val="clear" w:color="auto" w:fill="auto"/>
            <w:vAlign w:val="bottom"/>
          </w:tcPr>
          <w:p>
            <w:pPr>
              <w:widowControl/>
              <w:spacing w:line="208"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年度资金总额</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141万元</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141万元</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140.7万元</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p>
        </w:tc>
        <w:tc>
          <w:tcPr>
            <w:tcW w:w="818" w:type="dxa"/>
            <w:tcBorders>
              <w:right w:val="single" w:color="auto" w:sz="8" w:space="0"/>
            </w:tcBorders>
            <w:shd w:val="clear" w:color="auto" w:fill="auto"/>
            <w:vAlign w:val="bottom"/>
          </w:tcPr>
          <w:p>
            <w:pPr>
              <w:widowControl/>
              <w:spacing w:line="208" w:lineRule="exact"/>
              <w:ind w:right="2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w:t>
            </w: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w:t>
            </w:r>
          </w:p>
        </w:tc>
      </w:tr>
      <w:tr>
        <w:tblPrEx>
          <w:tblCellMar>
            <w:top w:w="0" w:type="dxa"/>
            <w:left w:w="0" w:type="dxa"/>
            <w:bottom w:w="0" w:type="dxa"/>
            <w:right w:w="0" w:type="dxa"/>
          </w:tblCellMar>
        </w:tblPrEx>
        <w:trPr>
          <w:trHeight w:val="5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（万元）</w:t>
            </w:r>
          </w:p>
        </w:tc>
        <w:tc>
          <w:tcPr>
            <w:tcW w:w="2156" w:type="dxa"/>
            <w:gridSpan w:val="2"/>
            <w:tcBorders>
              <w:right w:val="single" w:color="auto" w:sz="8" w:space="0"/>
            </w:tcBorders>
            <w:shd w:val="clear" w:color="auto" w:fill="auto"/>
            <w:vAlign w:val="bottom"/>
          </w:tcPr>
          <w:p>
            <w:pPr>
              <w:widowControl/>
              <w:spacing w:line="199"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其中：当年财政拨款</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141万元</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141万元</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140.7万元</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6"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上年结转资金</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6"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其他资金</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6" w:hRule="atLeast"/>
        </w:trPr>
        <w:tc>
          <w:tcPr>
            <w:tcW w:w="1096" w:type="dxa"/>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年度总体</w:t>
            </w: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357" w:type="dxa"/>
            <w:gridSpan w:val="6"/>
            <w:shd w:val="clear" w:color="auto" w:fill="auto"/>
            <w:vAlign w:val="bottom"/>
          </w:tcPr>
          <w:p>
            <w:pPr>
              <w:widowControl/>
              <w:spacing w:line="206" w:lineRule="exact"/>
              <w:ind w:left="7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预期目标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696" w:type="dxa"/>
            <w:gridSpan w:val="2"/>
            <w:shd w:val="clear" w:color="auto" w:fill="auto"/>
            <w:vAlign w:val="bottom"/>
          </w:tcPr>
          <w:p>
            <w:pPr>
              <w:widowControl/>
              <w:spacing w:line="206" w:lineRule="exact"/>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实际完成情况</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6"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目标</w:t>
            </w: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5"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p>
        </w:tc>
        <w:tc>
          <w:tcPr>
            <w:tcW w:w="4532" w:type="dxa"/>
            <w:gridSpan w:val="9"/>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r>
              <w:rPr>
                <w:rFonts w:ascii="Times New Roman" w:hAnsi="Times New Roman" w:eastAsia="宋体" w:cs="Times New Roman"/>
                <w:color w:val="auto"/>
                <w:kern w:val="0"/>
                <w:sz w:val="20"/>
                <w:szCs w:val="20"/>
              </w:rPr>
              <w:t>对湖南省广播电视监测系统、安全播出调度平台、预警信息平台及消防设备进行维护，如技术支持和保障、设备现场维修、设备返厂维修、软件升级维护等</w:t>
            </w:r>
          </w:p>
        </w:tc>
        <w:tc>
          <w:tcPr>
            <w:tcW w:w="4252" w:type="dxa"/>
            <w:gridSpan w:val="5"/>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r>
              <w:rPr>
                <w:rFonts w:ascii="Times New Roman" w:hAnsi="Times New Roman" w:eastAsia="宋体" w:cs="Times New Roman"/>
                <w:color w:val="auto"/>
                <w:kern w:val="0"/>
                <w:sz w:val="20"/>
                <w:szCs w:val="20"/>
              </w:rPr>
              <w:t>完成率100%，有力的保证湖南省广播电视监测网、安全播出调度平台及消防设备稳定可靠运行。</w:t>
            </w:r>
          </w:p>
        </w:tc>
      </w:tr>
      <w:tr>
        <w:tblPrEx>
          <w:tblCellMar>
            <w:top w:w="0" w:type="dxa"/>
            <w:left w:w="0" w:type="dxa"/>
            <w:bottom w:w="0" w:type="dxa"/>
            <w:right w:w="0" w:type="dxa"/>
          </w:tblCellMar>
        </w:tblPrEx>
        <w:trPr>
          <w:trHeight w:val="69"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8"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实际</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19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偏差原因</w:t>
            </w:r>
          </w:p>
        </w:tc>
      </w:tr>
      <w:tr>
        <w:tblPrEx>
          <w:tblCellMar>
            <w:top w:w="0" w:type="dxa"/>
            <w:left w:w="0" w:type="dxa"/>
            <w:bottom w:w="0" w:type="dxa"/>
            <w:right w:w="0" w:type="dxa"/>
          </w:tblCellMar>
        </w:tblPrEx>
        <w:trPr>
          <w:trHeight w:val="10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一级指标</w:t>
            </w:r>
          </w:p>
        </w:tc>
        <w:tc>
          <w:tcPr>
            <w:tcW w:w="10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二级指标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209" w:type="dxa"/>
            <w:gridSpan w:val="3"/>
            <w:vMerge w:val="restart"/>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三级指标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81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8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c>
          <w:tcPr>
            <w:tcW w:w="141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分析及</w:t>
            </w: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指标值</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完成值</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改进措施</w:t>
            </w: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4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9" w:type="dxa"/>
            <w:gridSpan w:val="5"/>
            <w:vMerge w:val="restart"/>
            <w:shd w:val="clear" w:color="auto" w:fill="auto"/>
            <w:vAlign w:val="bottom"/>
          </w:tcPr>
          <w:p>
            <w:pPr>
              <w:widowControl/>
              <w:spacing w:line="200" w:lineRule="exact"/>
              <w:ind w:left="40"/>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设备数量</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vMerge w:val="continue"/>
            <w:shd w:val="clear" w:color="auto" w:fill="auto"/>
            <w:vAlign w:val="bottom"/>
          </w:tcPr>
          <w:p>
            <w:pPr>
              <w:widowControl/>
              <w:spacing w:line="200"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数量指标</w:t>
            </w:r>
          </w:p>
        </w:tc>
        <w:tc>
          <w:tcPr>
            <w:tcW w:w="1279" w:type="dxa"/>
            <w:gridSpan w:val="5"/>
            <w:vMerge w:val="continue"/>
            <w:shd w:val="clear" w:color="auto" w:fill="auto"/>
            <w:vAlign w:val="bottom"/>
          </w:tcPr>
          <w:p>
            <w:pPr>
              <w:widowControl/>
              <w:spacing w:line="200"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7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9" w:type="dxa"/>
            <w:gridSpan w:val="5"/>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设备完好</w:t>
            </w:r>
          </w:p>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率</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产出指标</w:t>
            </w:r>
          </w:p>
        </w:tc>
        <w:tc>
          <w:tcPr>
            <w:tcW w:w="1078"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质量指标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200"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6"/>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6"/>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r>
      <w:tr>
        <w:tblPrEx>
          <w:tblCellMar>
            <w:top w:w="0" w:type="dxa"/>
            <w:left w:w="0" w:type="dxa"/>
            <w:bottom w:w="0" w:type="dxa"/>
            <w:right w:w="0" w:type="dxa"/>
          </w:tblCellMar>
        </w:tblPrEx>
        <w:trPr>
          <w:trHeight w:val="13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067"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998" w:type="dxa"/>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18"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2"/>
                <w:kern w:val="0"/>
                <w:szCs w:val="20"/>
              </w:rPr>
            </w:pPr>
            <w:r>
              <w:rPr>
                <w:rFonts w:ascii="Times New Roman" w:hAnsi="Times New Roman" w:eastAsia="宋体" w:cs="Times New Roman"/>
                <w:color w:val="auto"/>
                <w:w w:val="92"/>
                <w:kern w:val="0"/>
                <w:szCs w:val="20"/>
              </w:rPr>
              <w:t>(50 分)</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199"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运行时间</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8"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restart"/>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时效指标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99"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63"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4"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维护费支</w:t>
            </w:r>
          </w:p>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出率</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7"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208" w:lineRule="exact"/>
              <w:ind w:left="40"/>
              <w:jc w:val="center"/>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57" w:hRule="atLeast"/>
        </w:trPr>
        <w:tc>
          <w:tcPr>
            <w:tcW w:w="1096"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8" w:type="dxa"/>
            <w:tcBorders>
              <w:right w:val="single" w:color="auto" w:sz="8" w:space="0"/>
            </w:tcBorders>
            <w:shd w:val="clear" w:color="auto" w:fill="auto"/>
            <w:vAlign w:val="bottom"/>
          </w:tcPr>
          <w:p>
            <w:pPr>
              <w:widowControl/>
              <w:spacing w:line="20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成本指标</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209" w:type="dxa"/>
            <w:gridSpan w:val="3"/>
            <w:vMerge w:val="continue"/>
            <w:shd w:val="clear" w:color="auto" w:fill="auto"/>
            <w:vAlign w:val="bottom"/>
          </w:tcPr>
          <w:p>
            <w:pPr>
              <w:widowControl/>
              <w:spacing w:line="208" w:lineRule="exact"/>
              <w:ind w:left="40"/>
              <w:jc w:val="center"/>
              <w:rPr>
                <w:rFonts w:ascii="Times New Roman" w:hAnsi="Times New Roman" w:eastAsia="宋体" w:cs="Times New Roman"/>
                <w:color w:val="auto"/>
                <w:kern w:val="0"/>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18"/>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经济效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1"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资金到位率</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210"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效益指标</w:t>
            </w: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社会效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09" w:type="dxa"/>
            <w:gridSpan w:val="3"/>
            <w:vMerge w:val="restart"/>
            <w:shd w:val="clear" w:color="auto" w:fill="auto"/>
            <w:vAlign w:val="bottom"/>
          </w:tcPr>
          <w:p>
            <w:pPr>
              <w:widowControl/>
              <w:spacing w:line="208" w:lineRule="exact"/>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8"/>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201" w:lineRule="exact"/>
              <w:ind w:left="40"/>
              <w:jc w:val="center"/>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6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1"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（30 分）</w:t>
            </w: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生态效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199"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提升公共服</w:t>
            </w:r>
          </w:p>
          <w:p>
            <w:pPr>
              <w:widowControl/>
              <w:spacing w:line="199"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务水平</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2"/>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可持续影</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保障设备完</w:t>
            </w:r>
          </w:p>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好率</w:t>
            </w: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7"/>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5</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8" w:lineRule="exact"/>
              <w:ind w:left="40"/>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4" w:hRule="atLeast"/>
        </w:trPr>
        <w:tc>
          <w:tcPr>
            <w:tcW w:w="1096" w:type="dxa"/>
            <w:vMerge w:val="restart"/>
            <w:tcBorders>
              <w:left w:val="single" w:color="auto" w:sz="8" w:space="0"/>
              <w:right w:val="single" w:color="auto" w:sz="8" w:space="0"/>
            </w:tcBorders>
            <w:shd w:val="clear" w:color="auto" w:fill="auto"/>
            <w:vAlign w:val="bottom"/>
          </w:tcPr>
          <w:p>
            <w:pPr>
              <w:widowControl/>
              <w:spacing w:line="21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8" w:lineRule="exact"/>
              <w:ind w:left="40"/>
              <w:jc w:val="center"/>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响指标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55" w:hRule="atLeast"/>
        </w:trPr>
        <w:tc>
          <w:tcPr>
            <w:tcW w:w="1096" w:type="dxa"/>
            <w:vMerge w:val="restart"/>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center"/>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4"/>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998" w:type="dxa"/>
            <w:vMerge w:val="continue"/>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0" w:type="dxa"/>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1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13"/>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58"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62"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8"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满意度</w:t>
            </w:r>
          </w:p>
        </w:tc>
        <w:tc>
          <w:tcPr>
            <w:tcW w:w="1078"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服务对象</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209" w:type="dxa"/>
            <w:gridSpan w:val="3"/>
            <w:vMerge w:val="restart"/>
            <w:shd w:val="clear" w:color="auto" w:fill="auto"/>
            <w:vAlign w:val="bottom"/>
          </w:tcPr>
          <w:p>
            <w:pPr>
              <w:widowControl/>
              <w:spacing w:line="199"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群众满意度</w:t>
            </w:r>
          </w:p>
        </w:tc>
        <w:tc>
          <w:tcPr>
            <w:tcW w:w="3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1067"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r>
              <w:rPr>
                <w:rFonts w:ascii="Times New Roman" w:hAnsi="Times New Roman" w:eastAsia="Times New Roman" w:cs="Times New Roman"/>
                <w:color w:val="auto"/>
                <w:kern w:val="0"/>
                <w:sz w:val="17"/>
                <w:szCs w:val="20"/>
              </w:rPr>
              <w:t>100%</w:t>
            </w:r>
          </w:p>
        </w:tc>
        <w:tc>
          <w:tcPr>
            <w:tcW w:w="998" w:type="dxa"/>
            <w:vMerge w:val="restart"/>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r>
              <w:rPr>
                <w:rFonts w:ascii="Times New Roman" w:hAnsi="Times New Roman" w:eastAsia="Times New Roman" w:cs="Times New Roman"/>
                <w:color w:val="auto"/>
                <w:kern w:val="0"/>
                <w:sz w:val="17"/>
                <w:szCs w:val="20"/>
              </w:rPr>
              <w:t>100%</w:t>
            </w:r>
          </w:p>
        </w:tc>
        <w:tc>
          <w:tcPr>
            <w:tcW w:w="140" w:type="dxa"/>
            <w:tcBorders>
              <w:bottom w:val="single" w:color="auto" w:sz="8" w:space="0"/>
              <w:right w:val="single" w:color="auto" w:sz="8" w:space="0"/>
            </w:tcBorders>
            <w:shd w:val="clear" w:color="auto" w:fill="auto"/>
            <w:vAlign w:val="bottom"/>
          </w:tcPr>
          <w:p>
            <w:pPr>
              <w:widowControl/>
              <w:spacing w:line="0" w:lineRule="atLeast"/>
              <w:jc w:val="center"/>
              <w:rPr>
                <w:rFonts w:ascii="Times New Roman" w:hAnsi="Times New Roman" w:eastAsia="Times New Roman" w:cs="Times New Roman"/>
                <w:color w:val="auto"/>
                <w:kern w:val="0"/>
                <w:sz w:val="22"/>
                <w:szCs w:val="20"/>
              </w:rPr>
            </w:pPr>
          </w:p>
        </w:tc>
        <w:tc>
          <w:tcPr>
            <w:tcW w:w="81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5</w:t>
            </w:r>
          </w:p>
        </w:tc>
        <w:tc>
          <w:tcPr>
            <w:tcW w:w="878" w:type="dxa"/>
            <w:vMerge w:val="restart"/>
            <w:tcBorders>
              <w:right w:val="single" w:color="auto" w:sz="8" w:space="0"/>
            </w:tcBorders>
            <w:shd w:val="clear" w:color="auto" w:fill="auto"/>
            <w:vAlign w:val="bottom"/>
          </w:tcPr>
          <w:p>
            <w:pPr>
              <w:widowControl/>
              <w:spacing w:line="0" w:lineRule="atLeast"/>
              <w:jc w:val="center"/>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5</w:t>
            </w: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185"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8"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指标</w:t>
            </w:r>
          </w:p>
        </w:tc>
        <w:tc>
          <w:tcPr>
            <w:tcW w:w="1078"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满意度指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（10 分）</w:t>
            </w: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vMerge w:val="continue"/>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357" w:type="dxa"/>
            <w:gridSpan w:val="6"/>
            <w:shd w:val="clear" w:color="auto" w:fill="auto"/>
            <w:vAlign w:val="bottom"/>
          </w:tcPr>
          <w:p>
            <w:pPr>
              <w:widowControl/>
              <w:spacing w:line="200" w:lineRule="exact"/>
              <w:ind w:left="13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总分</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100</w:t>
            </w: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2174" w:type="dxa"/>
            <w:gridSpan w:val="2"/>
            <w:tcBorders>
              <w:left w:val="single" w:color="auto" w:sz="8" w:space="0"/>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48"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7"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70" w:hRule="atLeast"/>
        </w:trPr>
        <w:tc>
          <w:tcPr>
            <w:tcW w:w="2174" w:type="dxa"/>
            <w:gridSpan w:val="2"/>
            <w:shd w:val="clear" w:color="auto" w:fill="auto"/>
            <w:vAlign w:val="bottom"/>
          </w:tcPr>
          <w:p>
            <w:pPr>
              <w:widowControl/>
              <w:spacing w:line="24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填表人:胡芳</w:t>
            </w:r>
          </w:p>
        </w:tc>
        <w:tc>
          <w:tcPr>
            <w:tcW w:w="2357" w:type="dxa"/>
            <w:gridSpan w:val="6"/>
            <w:shd w:val="clear" w:color="auto" w:fill="auto"/>
            <w:vAlign w:val="bottom"/>
          </w:tcPr>
          <w:p>
            <w:pPr>
              <w:widowControl/>
              <w:spacing w:line="0" w:lineRule="atLeast"/>
              <w:jc w:val="left"/>
              <w:rPr>
                <w:rFonts w:ascii="Times New Roman" w:hAnsi="Times New Roman" w:eastAsia="Times New Roman" w:cs="Times New Roman"/>
                <w:color w:val="auto"/>
                <w:kern w:val="0"/>
                <w:sz w:val="24"/>
                <w:szCs w:val="20"/>
              </w:rPr>
            </w:pPr>
            <w:r>
              <w:rPr>
                <w:rFonts w:ascii="Times New Roman" w:hAnsi="Times New Roman" w:eastAsia="宋体" w:cs="Times New Roman"/>
                <w:color w:val="auto"/>
                <w:kern w:val="0"/>
                <w:szCs w:val="20"/>
              </w:rPr>
              <w:t>填报日期：2020.4.20</w:t>
            </w:r>
          </w:p>
        </w:tc>
        <w:tc>
          <w:tcPr>
            <w:tcW w:w="1097" w:type="dxa"/>
            <w:gridSpan w:val="2"/>
            <w:shd w:val="clear" w:color="auto" w:fill="auto"/>
            <w:vAlign w:val="bottom"/>
          </w:tcPr>
          <w:p>
            <w:pPr>
              <w:widowControl/>
              <w:spacing w:line="240" w:lineRule="exact"/>
              <w:ind w:left="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联系电话：</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24"/>
                <w:szCs w:val="20"/>
              </w:rPr>
            </w:pPr>
            <w:r>
              <w:rPr>
                <w:rFonts w:ascii="Times New Roman" w:hAnsi="Times New Roman" w:eastAsia="宋体" w:cs="Times New Roman"/>
                <w:color w:val="auto"/>
                <w:kern w:val="0"/>
                <w:sz w:val="24"/>
                <w:szCs w:val="20"/>
              </w:rPr>
              <w:t>84802561</w:t>
            </w:r>
          </w:p>
        </w:tc>
        <w:tc>
          <w:tcPr>
            <w:tcW w:w="1836" w:type="dxa"/>
            <w:gridSpan w:val="3"/>
            <w:shd w:val="clear" w:color="auto" w:fill="auto"/>
            <w:vAlign w:val="bottom"/>
          </w:tcPr>
          <w:p>
            <w:pPr>
              <w:widowControl/>
              <w:spacing w:line="240" w:lineRule="exact"/>
              <w:ind w:right="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单位负责人签字：</w:t>
            </w:r>
          </w:p>
        </w:tc>
        <w:tc>
          <w:tcPr>
            <w:tcW w:w="1418" w:type="dxa"/>
            <w:shd w:val="clear" w:color="auto" w:fill="auto"/>
            <w:vAlign w:val="bottom"/>
          </w:tcPr>
          <w:p>
            <w:pPr>
              <w:widowControl/>
              <w:spacing w:line="0" w:lineRule="atLeast"/>
              <w:jc w:val="left"/>
              <w:rPr>
                <w:rFonts w:ascii="Times New Roman" w:hAnsi="Times New Roman" w:eastAsia="Times New Roman" w:cs="Times New Roman"/>
                <w:color w:val="auto"/>
                <w:kern w:val="0"/>
                <w:sz w:val="24"/>
                <w:szCs w:val="20"/>
              </w:rPr>
            </w:pPr>
          </w:p>
        </w:tc>
      </w:tr>
    </w:tbl>
    <w:p>
      <w:pPr>
        <w:jc w:val="center"/>
        <w:rPr>
          <w:rFonts w:ascii="Times New Roman" w:hAnsi="Times New Roman" w:eastAsia="黑体" w:cs="Times New Roman"/>
          <w:color w:val="auto"/>
          <w:kern w:val="0"/>
          <w:sz w:val="70"/>
          <w:szCs w:val="70"/>
        </w:rPr>
      </w:pPr>
    </w:p>
    <w:p>
      <w:pPr>
        <w:ind w:firstLine="640" w:firstLineChars="200"/>
        <w:jc w:val="left"/>
        <w:rPr>
          <w:rFonts w:ascii="Times New Roman" w:hAnsi="Times New Roman" w:cs="Times New Roman"/>
          <w:color w:val="auto"/>
          <w:kern w:val="0"/>
          <w:sz w:val="32"/>
          <w:szCs w:val="32"/>
        </w:rPr>
      </w:pPr>
    </w:p>
    <w:p>
      <w:pPr>
        <w:ind w:firstLine="640" w:firstLineChars="200"/>
        <w:jc w:val="left"/>
        <w:rPr>
          <w:rFonts w:ascii="Times New Roman" w:hAnsi="Times New Roman" w:cs="Times New Roman"/>
          <w:color w:val="auto"/>
          <w:kern w:val="0"/>
          <w:sz w:val="32"/>
          <w:szCs w:val="32"/>
        </w:rPr>
      </w:pPr>
    </w:p>
    <w:p>
      <w:pPr>
        <w:widowControl/>
        <w:spacing w:line="366" w:lineRule="exact"/>
        <w:ind w:left="560"/>
        <w:jc w:val="left"/>
        <w:rPr>
          <w:rFonts w:ascii="Times New Roman" w:hAnsi="Times New Roman" w:eastAsia="宋体" w:cs="Times New Roman"/>
          <w:color w:val="auto"/>
          <w:kern w:val="0"/>
          <w:sz w:val="32"/>
          <w:szCs w:val="20"/>
        </w:rPr>
      </w:pPr>
      <w:r>
        <w:rPr>
          <w:rFonts w:ascii="Times New Roman" w:hAnsi="Times New Roman" w:eastAsia="宋体" w:cs="Times New Roman"/>
          <w:color w:val="auto"/>
          <w:kern w:val="0"/>
          <w:sz w:val="32"/>
          <w:szCs w:val="20"/>
        </w:rPr>
        <w:t>附件 3</w:t>
      </w:r>
    </w:p>
    <w:p>
      <w:pPr>
        <w:widowControl/>
        <w:spacing w:line="171" w:lineRule="exact"/>
        <w:jc w:val="left"/>
        <w:rPr>
          <w:rFonts w:ascii="Times New Roman" w:hAnsi="Times New Roman" w:eastAsia="Times New Roman" w:cs="Times New Roman"/>
          <w:color w:val="auto"/>
          <w:kern w:val="0"/>
          <w:sz w:val="20"/>
          <w:szCs w:val="20"/>
        </w:rPr>
      </w:pPr>
    </w:p>
    <w:p>
      <w:pPr>
        <w:widowControl/>
        <w:spacing w:line="411" w:lineRule="exact"/>
        <w:jc w:val="center"/>
        <w:rPr>
          <w:rFonts w:ascii="Times New Roman" w:hAnsi="Times New Roman" w:eastAsia="宋体" w:cs="Times New Roman"/>
          <w:color w:val="auto"/>
          <w:kern w:val="0"/>
          <w:sz w:val="36"/>
          <w:szCs w:val="20"/>
        </w:rPr>
      </w:pPr>
      <w:r>
        <w:rPr>
          <w:rFonts w:ascii="Times New Roman" w:hAnsi="Times New Roman" w:eastAsia="宋体" w:cs="Times New Roman"/>
          <w:color w:val="auto"/>
          <w:kern w:val="0"/>
          <w:sz w:val="36"/>
          <w:szCs w:val="20"/>
        </w:rPr>
        <w:t>2020 年度项目支出绩效自评表</w:t>
      </w:r>
    </w:p>
    <w:p>
      <w:pPr>
        <w:widowControl/>
        <w:spacing w:line="118" w:lineRule="exact"/>
        <w:jc w:val="left"/>
        <w:rPr>
          <w:rFonts w:ascii="Times New Roman" w:hAnsi="Times New Roman" w:eastAsia="Times New Roman" w:cs="Times New Roman"/>
          <w:color w:val="auto"/>
          <w:kern w:val="0"/>
          <w:sz w:val="20"/>
          <w:szCs w:val="20"/>
        </w:rPr>
      </w:pPr>
    </w:p>
    <w:tbl>
      <w:tblPr>
        <w:tblStyle w:val="7"/>
        <w:tblW w:w="9880" w:type="dxa"/>
        <w:tblInd w:w="10" w:type="dxa"/>
        <w:tblLayout w:type="fixed"/>
        <w:tblCellMar>
          <w:top w:w="0" w:type="dxa"/>
          <w:left w:w="0" w:type="dxa"/>
          <w:bottom w:w="0" w:type="dxa"/>
          <w:right w:w="0" w:type="dxa"/>
        </w:tblCellMar>
      </w:tblPr>
      <w:tblGrid>
        <w:gridCol w:w="1096"/>
        <w:gridCol w:w="1078"/>
        <w:gridCol w:w="1078"/>
        <w:gridCol w:w="30"/>
        <w:gridCol w:w="40"/>
        <w:gridCol w:w="998"/>
        <w:gridCol w:w="160"/>
        <w:gridCol w:w="51"/>
        <w:gridCol w:w="30"/>
        <w:gridCol w:w="1067"/>
        <w:gridCol w:w="998"/>
        <w:gridCol w:w="140"/>
        <w:gridCol w:w="38"/>
        <w:gridCol w:w="780"/>
        <w:gridCol w:w="878"/>
        <w:gridCol w:w="1418"/>
      </w:tblGrid>
      <w:tr>
        <w:tblPrEx>
          <w:tblCellMar>
            <w:top w:w="0" w:type="dxa"/>
            <w:left w:w="0" w:type="dxa"/>
            <w:bottom w:w="0" w:type="dxa"/>
            <w:right w:w="0" w:type="dxa"/>
          </w:tblCellMar>
        </w:tblPrEx>
        <w:trPr>
          <w:trHeight w:val="218" w:hRule="atLeast"/>
        </w:trPr>
        <w:tc>
          <w:tcPr>
            <w:tcW w:w="1096" w:type="dxa"/>
            <w:tcBorders>
              <w:top w:val="single" w:color="auto" w:sz="8" w:space="0"/>
              <w:left w:val="single" w:color="auto" w:sz="8" w:space="0"/>
              <w:right w:val="single" w:color="auto" w:sz="8" w:space="0"/>
            </w:tcBorders>
            <w:shd w:val="clear" w:color="auto" w:fill="auto"/>
            <w:vAlign w:val="bottom"/>
          </w:tcPr>
          <w:p>
            <w:pPr>
              <w:widowControl/>
              <w:spacing w:line="218"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项目支</w:t>
            </w:r>
          </w:p>
        </w:tc>
        <w:tc>
          <w:tcPr>
            <w:tcW w:w="10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0"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60"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148" w:type="dxa"/>
            <w:gridSpan w:val="3"/>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0"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18"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78"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18" w:type="dxa"/>
            <w:tcBorders>
              <w:top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260" w:hRule="atLeast"/>
        </w:trPr>
        <w:tc>
          <w:tcPr>
            <w:tcW w:w="1096"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出名称</w:t>
            </w:r>
          </w:p>
        </w:tc>
        <w:tc>
          <w:tcPr>
            <w:tcW w:w="4532" w:type="dxa"/>
            <w:gridSpan w:val="9"/>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宋体" w:cs="Times New Roman"/>
                <w:color w:val="auto"/>
                <w:kern w:val="0"/>
                <w:sz w:val="22"/>
                <w:szCs w:val="20"/>
              </w:rPr>
              <w:t>新预警指挥调度大厅(单频网配套项目)</w:t>
            </w: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0"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18"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78"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6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48"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200" w:lineRule="exact"/>
              <w:ind w:left="1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主管部门</w:t>
            </w:r>
          </w:p>
        </w:tc>
        <w:tc>
          <w:tcPr>
            <w:tcW w:w="4532" w:type="dxa"/>
            <w:gridSpan w:val="9"/>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湖南省广播电视局</w:t>
            </w:r>
          </w:p>
        </w:tc>
        <w:tc>
          <w:tcPr>
            <w:tcW w:w="998" w:type="dxa"/>
            <w:shd w:val="clear" w:color="auto" w:fill="auto"/>
            <w:vAlign w:val="bottom"/>
          </w:tcPr>
          <w:p>
            <w:pPr>
              <w:widowControl/>
              <w:spacing w:line="200" w:lineRule="exact"/>
              <w:ind w:left="1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实施单位</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114" w:type="dxa"/>
            <w:gridSpan w:val="4"/>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湖南省广播电视监测与安全播出调度中心</w:t>
            </w: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年初</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998" w:type="dxa"/>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gridSpan w:val="2"/>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8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执行率</w:t>
            </w:r>
          </w:p>
        </w:tc>
        <w:tc>
          <w:tcPr>
            <w:tcW w:w="141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r>
      <w:tr>
        <w:tblPrEx>
          <w:tblCellMar>
            <w:top w:w="0" w:type="dxa"/>
            <w:left w:w="0" w:type="dxa"/>
            <w:bottom w:w="0" w:type="dxa"/>
            <w:right w:w="0" w:type="dxa"/>
          </w:tblCellMar>
        </w:tblPrEx>
        <w:trPr>
          <w:trHeight w:val="13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49" w:type="dxa"/>
            <w:gridSpan w:val="4"/>
            <w:vMerge w:val="restart"/>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执行数</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18"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49" w:type="dxa"/>
            <w:gridSpan w:val="4"/>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1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1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21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项目资金</w:t>
            </w:r>
          </w:p>
        </w:tc>
        <w:tc>
          <w:tcPr>
            <w:tcW w:w="2156" w:type="dxa"/>
            <w:gridSpan w:val="2"/>
            <w:tcBorders>
              <w:right w:val="single" w:color="auto" w:sz="8" w:space="0"/>
            </w:tcBorders>
            <w:shd w:val="clear" w:color="auto" w:fill="auto"/>
            <w:vAlign w:val="bottom"/>
          </w:tcPr>
          <w:p>
            <w:pPr>
              <w:widowControl/>
              <w:spacing w:line="208"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年度资金总额</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140万元</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140.00万元</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122.77万元</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p>
        </w:tc>
        <w:tc>
          <w:tcPr>
            <w:tcW w:w="818" w:type="dxa"/>
            <w:gridSpan w:val="2"/>
            <w:tcBorders>
              <w:right w:val="single" w:color="auto" w:sz="8" w:space="0"/>
            </w:tcBorders>
            <w:shd w:val="clear" w:color="auto" w:fill="auto"/>
            <w:vAlign w:val="bottom"/>
          </w:tcPr>
          <w:p>
            <w:pPr>
              <w:widowControl/>
              <w:spacing w:line="208" w:lineRule="exact"/>
              <w:ind w:right="2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w:t>
            </w: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6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（万元）</w:t>
            </w:r>
          </w:p>
        </w:tc>
        <w:tc>
          <w:tcPr>
            <w:tcW w:w="2156" w:type="dxa"/>
            <w:gridSpan w:val="2"/>
            <w:tcBorders>
              <w:right w:val="single" w:color="auto" w:sz="8" w:space="0"/>
            </w:tcBorders>
            <w:shd w:val="clear" w:color="auto" w:fill="auto"/>
            <w:vAlign w:val="bottom"/>
          </w:tcPr>
          <w:p>
            <w:pPr>
              <w:widowControl/>
              <w:spacing w:line="199"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其中：当年财政拨款</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60万元</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42.77万元</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6"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上年结转资金</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80万元</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80万元</w:t>
            </w: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49" w:type="dxa"/>
            <w:gridSpan w:val="4"/>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6"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其他资金</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49" w:type="dxa"/>
            <w:gridSpan w:val="4"/>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1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1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6" w:hRule="atLeast"/>
        </w:trPr>
        <w:tc>
          <w:tcPr>
            <w:tcW w:w="1096" w:type="dxa"/>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年度总体</w:t>
            </w: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357" w:type="dxa"/>
            <w:gridSpan w:val="6"/>
            <w:shd w:val="clear" w:color="auto" w:fill="auto"/>
            <w:vAlign w:val="bottom"/>
          </w:tcPr>
          <w:p>
            <w:pPr>
              <w:widowControl/>
              <w:spacing w:line="206" w:lineRule="exact"/>
              <w:ind w:left="7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预期目标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696" w:type="dxa"/>
            <w:gridSpan w:val="3"/>
            <w:shd w:val="clear" w:color="auto" w:fill="auto"/>
            <w:vAlign w:val="bottom"/>
          </w:tcPr>
          <w:p>
            <w:pPr>
              <w:widowControl/>
              <w:spacing w:line="206" w:lineRule="exact"/>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实际完成情况</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6"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目标</w:t>
            </w: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1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5"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p>
        </w:tc>
        <w:tc>
          <w:tcPr>
            <w:tcW w:w="4532" w:type="dxa"/>
            <w:gridSpan w:val="9"/>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6"/>
                <w:szCs w:val="20"/>
              </w:rPr>
            </w:pPr>
            <w:r>
              <w:rPr>
                <w:rFonts w:ascii="Times New Roman" w:hAnsi="Times New Roman" w:eastAsia="宋体" w:cs="Times New Roman"/>
                <w:color w:val="auto"/>
                <w:kern w:val="0"/>
                <w:sz w:val="16"/>
                <w:szCs w:val="20"/>
              </w:rPr>
              <w:t>对30楼设备机房的机房、中央空调系统、电力设施、消防系统、UPS不间断电源系统、门禁安全系统及办公区域进行更新改造，为湖南省广播电视局单频网运行管理平台项目的实施提供基础保障。</w:t>
            </w:r>
          </w:p>
        </w:tc>
        <w:tc>
          <w:tcPr>
            <w:tcW w:w="4252" w:type="dxa"/>
            <w:gridSpan w:val="6"/>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r>
              <w:rPr>
                <w:rFonts w:ascii="Times New Roman" w:hAnsi="Times New Roman" w:eastAsia="宋体" w:cs="Times New Roman"/>
                <w:color w:val="auto"/>
                <w:kern w:val="0"/>
                <w:sz w:val="16"/>
                <w:szCs w:val="20"/>
              </w:rPr>
              <w:t>整个项目工程已全部完工，余款按照合同要求待工程验收合格后2021年支付。</w:t>
            </w:r>
          </w:p>
        </w:tc>
      </w:tr>
      <w:tr>
        <w:tblPrEx>
          <w:tblCellMar>
            <w:top w:w="0" w:type="dxa"/>
            <w:left w:w="0" w:type="dxa"/>
            <w:bottom w:w="0" w:type="dxa"/>
            <w:right w:w="0" w:type="dxa"/>
          </w:tblCellMar>
        </w:tblPrEx>
        <w:trPr>
          <w:trHeight w:val="69"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8"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实际</w:t>
            </w: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tcBorders>
              <w:right w:val="single" w:color="auto" w:sz="8" w:space="0"/>
            </w:tcBorders>
            <w:shd w:val="clear" w:color="auto" w:fill="auto"/>
            <w:vAlign w:val="bottom"/>
          </w:tcPr>
          <w:p>
            <w:pPr>
              <w:widowControl/>
              <w:spacing w:line="19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偏差原因</w:t>
            </w:r>
          </w:p>
        </w:tc>
      </w:tr>
      <w:tr>
        <w:tblPrEx>
          <w:tblCellMar>
            <w:top w:w="0" w:type="dxa"/>
            <w:left w:w="0" w:type="dxa"/>
            <w:bottom w:w="0" w:type="dxa"/>
            <w:right w:w="0" w:type="dxa"/>
          </w:tblCellMar>
        </w:tblPrEx>
        <w:trPr>
          <w:trHeight w:val="10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一级指标</w:t>
            </w:r>
          </w:p>
        </w:tc>
        <w:tc>
          <w:tcPr>
            <w:tcW w:w="10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二级指标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209" w:type="dxa"/>
            <w:gridSpan w:val="3"/>
            <w:vMerge w:val="restart"/>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三级指标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780"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87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c>
          <w:tcPr>
            <w:tcW w:w="1418"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分析及</w:t>
            </w: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指标值</w:t>
            </w:r>
          </w:p>
        </w:tc>
        <w:tc>
          <w:tcPr>
            <w:tcW w:w="998"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完成值</w:t>
            </w: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80"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8"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8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改进措施</w:t>
            </w:r>
          </w:p>
        </w:tc>
      </w:tr>
      <w:tr>
        <w:tblPrEx>
          <w:tblCellMar>
            <w:top w:w="0" w:type="dxa"/>
            <w:left w:w="0" w:type="dxa"/>
            <w:bottom w:w="0" w:type="dxa"/>
            <w:right w:w="0" w:type="dxa"/>
          </w:tblCellMar>
        </w:tblPrEx>
        <w:trPr>
          <w:trHeight w:val="12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209" w:type="dxa"/>
            <w:gridSpan w:val="3"/>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67"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78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4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9" w:type="dxa"/>
            <w:gridSpan w:val="5"/>
            <w:vMerge w:val="restart"/>
            <w:shd w:val="clear" w:color="auto" w:fill="auto"/>
            <w:vAlign w:val="bottom"/>
          </w:tcPr>
          <w:p>
            <w:pPr>
              <w:widowControl/>
              <w:spacing w:line="200" w:lineRule="exact"/>
              <w:ind w:left="4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设备数量</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vMerge w:val="continue"/>
            <w:shd w:val="clear" w:color="auto" w:fill="auto"/>
            <w:vAlign w:val="bottom"/>
          </w:tcPr>
          <w:p>
            <w:pPr>
              <w:widowControl/>
              <w:spacing w:line="200"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数量指标</w:t>
            </w:r>
          </w:p>
        </w:tc>
        <w:tc>
          <w:tcPr>
            <w:tcW w:w="1279" w:type="dxa"/>
            <w:gridSpan w:val="5"/>
            <w:vMerge w:val="continue"/>
            <w:shd w:val="clear" w:color="auto" w:fill="auto"/>
            <w:vAlign w:val="bottom"/>
          </w:tcPr>
          <w:p>
            <w:pPr>
              <w:widowControl/>
              <w:spacing w:line="200"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9" w:type="dxa"/>
            <w:gridSpan w:val="5"/>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设备完好率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产出指标</w:t>
            </w:r>
          </w:p>
        </w:tc>
        <w:tc>
          <w:tcPr>
            <w:tcW w:w="1078"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质量指标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200"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6"/>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r>
      <w:tr>
        <w:tblPrEx>
          <w:tblCellMar>
            <w:top w:w="0" w:type="dxa"/>
            <w:left w:w="0" w:type="dxa"/>
            <w:bottom w:w="0" w:type="dxa"/>
            <w:right w:w="0" w:type="dxa"/>
          </w:tblCellMar>
        </w:tblPrEx>
        <w:trPr>
          <w:trHeight w:val="13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2"/>
                <w:kern w:val="0"/>
                <w:szCs w:val="20"/>
              </w:rPr>
            </w:pPr>
            <w:r>
              <w:rPr>
                <w:rFonts w:ascii="Times New Roman" w:hAnsi="Times New Roman" w:eastAsia="宋体" w:cs="Times New Roman"/>
                <w:color w:val="auto"/>
                <w:w w:val="92"/>
                <w:kern w:val="0"/>
                <w:szCs w:val="20"/>
              </w:rPr>
              <w:t>(50 分)</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199"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运行时间</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8"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restart"/>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时效指标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63"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维护费支出率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7"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208" w:lineRule="exact"/>
              <w:ind w:left="40"/>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57" w:hRule="atLeast"/>
        </w:trPr>
        <w:tc>
          <w:tcPr>
            <w:tcW w:w="1096"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8" w:type="dxa"/>
            <w:tcBorders>
              <w:right w:val="single" w:color="auto" w:sz="8" w:space="0"/>
            </w:tcBorders>
            <w:shd w:val="clear" w:color="auto" w:fill="auto"/>
            <w:vAlign w:val="bottom"/>
          </w:tcPr>
          <w:p>
            <w:pPr>
              <w:widowControl/>
              <w:spacing w:line="20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成本指标</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209" w:type="dxa"/>
            <w:gridSpan w:val="3"/>
            <w:vMerge w:val="continue"/>
            <w:shd w:val="clear" w:color="auto" w:fill="auto"/>
            <w:vAlign w:val="bottom"/>
          </w:tcPr>
          <w:p>
            <w:pPr>
              <w:widowControl/>
              <w:spacing w:line="208" w:lineRule="exact"/>
              <w:ind w:left="40"/>
              <w:jc w:val="left"/>
              <w:rPr>
                <w:rFonts w:ascii="Times New Roman" w:hAnsi="Times New Roman" w:eastAsia="宋体" w:cs="Times New Roman"/>
                <w:color w:val="auto"/>
                <w:kern w:val="0"/>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18"/>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6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经济效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1"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资金到位率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8" w:type="dxa"/>
            <w:tcBorders>
              <w:right w:val="single" w:color="auto" w:sz="8" w:space="0"/>
            </w:tcBorders>
            <w:shd w:val="clear" w:color="auto" w:fill="auto"/>
            <w:vAlign w:val="bottom"/>
          </w:tcPr>
          <w:p>
            <w:pPr>
              <w:widowControl/>
              <w:spacing w:line="210"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效益指标</w:t>
            </w: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社会效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09" w:type="dxa"/>
            <w:gridSpan w:val="3"/>
            <w:vMerge w:val="restart"/>
            <w:shd w:val="clear" w:color="auto" w:fill="auto"/>
            <w:vAlign w:val="bottom"/>
          </w:tcPr>
          <w:p>
            <w:pPr>
              <w:widowControl/>
              <w:spacing w:line="208"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合理利用频率资源</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r>
              <w:rPr>
                <w:rFonts w:ascii="Times New Roman" w:hAnsi="Times New Roman" w:eastAsia="Times New Roman" w:cs="Times New Roman"/>
                <w:color w:val="auto"/>
                <w:kern w:val="0"/>
                <w:sz w:val="18"/>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201" w:lineRule="exact"/>
              <w:ind w:left="40"/>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64"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1"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（30 分）</w:t>
            </w: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生态效</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199"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提升公共服</w:t>
            </w:r>
          </w:p>
          <w:p>
            <w:pPr>
              <w:widowControl/>
              <w:spacing w:line="199"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务水平</w:t>
            </w:r>
          </w:p>
          <w:p>
            <w:pPr>
              <w:widowControl/>
              <w:spacing w:line="199" w:lineRule="exact"/>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0"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7"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可持续影</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restart"/>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保障机房使用率</w:t>
            </w: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8" w:lineRule="exact"/>
              <w:ind w:left="40"/>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4" w:hRule="atLeast"/>
        </w:trPr>
        <w:tc>
          <w:tcPr>
            <w:tcW w:w="1096" w:type="dxa"/>
            <w:vMerge w:val="restart"/>
            <w:tcBorders>
              <w:left w:val="single" w:color="auto" w:sz="8" w:space="0"/>
              <w:right w:val="single" w:color="auto" w:sz="8" w:space="0"/>
            </w:tcBorders>
            <w:shd w:val="clear" w:color="auto" w:fill="auto"/>
            <w:vAlign w:val="bottom"/>
          </w:tcPr>
          <w:p>
            <w:pPr>
              <w:widowControl/>
              <w:spacing w:line="21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208"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响指标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46"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55" w:hRule="atLeast"/>
        </w:trPr>
        <w:tc>
          <w:tcPr>
            <w:tcW w:w="1096" w:type="dxa"/>
            <w:vMerge w:val="restart"/>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4"/>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58" w:hRule="atLeast"/>
        </w:trPr>
        <w:tc>
          <w:tcPr>
            <w:tcW w:w="1096"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62" w:hRule="atLeast"/>
        </w:trPr>
        <w:tc>
          <w:tcPr>
            <w:tcW w:w="109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8"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满意度</w:t>
            </w:r>
          </w:p>
        </w:tc>
        <w:tc>
          <w:tcPr>
            <w:tcW w:w="1078"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服务对象</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209" w:type="dxa"/>
            <w:gridSpan w:val="3"/>
            <w:vMerge w:val="restart"/>
            <w:shd w:val="clear" w:color="auto" w:fill="auto"/>
            <w:vAlign w:val="bottom"/>
          </w:tcPr>
          <w:p>
            <w:pPr>
              <w:widowControl/>
              <w:spacing w:line="208"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群众满意度</w:t>
            </w: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67"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Times New Roman" w:cs="Times New Roman"/>
                <w:color w:val="auto"/>
                <w:kern w:val="0"/>
                <w:sz w:val="22"/>
                <w:szCs w:val="20"/>
              </w:rPr>
              <w:t>100%</w:t>
            </w:r>
          </w:p>
        </w:tc>
        <w:tc>
          <w:tcPr>
            <w:tcW w:w="1176" w:type="dxa"/>
            <w:gridSpan w:val="3"/>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Times New Roman" w:cs="Times New Roman"/>
                <w:color w:val="auto"/>
                <w:kern w:val="0"/>
                <w:sz w:val="17"/>
                <w:szCs w:val="20"/>
              </w:rPr>
              <w:t>100%</w:t>
            </w:r>
          </w:p>
        </w:tc>
        <w:tc>
          <w:tcPr>
            <w:tcW w:w="780"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5</w:t>
            </w:r>
          </w:p>
        </w:tc>
        <w:tc>
          <w:tcPr>
            <w:tcW w:w="87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5</w:t>
            </w:r>
          </w:p>
        </w:tc>
        <w:tc>
          <w:tcPr>
            <w:tcW w:w="1418"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199" w:hRule="atLeast"/>
        </w:trPr>
        <w:tc>
          <w:tcPr>
            <w:tcW w:w="1096" w:type="dxa"/>
            <w:tcBorders>
              <w:left w:val="single" w:color="auto" w:sz="8" w:space="0"/>
              <w:right w:val="single" w:color="auto" w:sz="8" w:space="0"/>
            </w:tcBorders>
            <w:shd w:val="clear" w:color="auto" w:fill="auto"/>
            <w:vAlign w:val="bottom"/>
          </w:tcPr>
          <w:p>
            <w:pPr>
              <w:widowControl/>
              <w:spacing w:line="185"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8"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指标</w:t>
            </w:r>
          </w:p>
        </w:tc>
        <w:tc>
          <w:tcPr>
            <w:tcW w:w="1078"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满意度指</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99" w:lineRule="exact"/>
              <w:ind w:left="40"/>
              <w:jc w:val="left"/>
              <w:rPr>
                <w:rFonts w:ascii="Times New Roman" w:hAnsi="Times New Roman" w:eastAsia="宋体" w:cs="Times New Roman"/>
                <w:color w:val="auto"/>
                <w:kern w:val="0"/>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（10 分）</w:t>
            </w:r>
          </w:p>
        </w:tc>
        <w:tc>
          <w:tcPr>
            <w:tcW w:w="1078"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09" w:type="dxa"/>
            <w:gridSpan w:val="3"/>
            <w:vMerge w:val="continue"/>
            <w:shd w:val="clear" w:color="auto" w:fill="auto"/>
            <w:vAlign w:val="bottom"/>
          </w:tcPr>
          <w:p>
            <w:pPr>
              <w:widowControl/>
              <w:spacing w:line="1" w:lineRule="exact"/>
              <w:jc w:val="left"/>
              <w:rPr>
                <w:rFonts w:ascii="Times New Roman" w:hAnsi="Times New Roman" w:eastAsia="Times New Roman" w:cs="Times New Roman"/>
                <w:color w:val="auto"/>
                <w:kern w:val="0"/>
                <w:sz w:val="17"/>
                <w:szCs w:val="20"/>
              </w:rPr>
            </w:pPr>
          </w:p>
        </w:tc>
        <w:tc>
          <w:tcPr>
            <w:tcW w:w="30"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176"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8"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6"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9" w:type="dxa"/>
            <w:gridSpan w:val="5"/>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7"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vMerge w:val="continue"/>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6" w:type="dxa"/>
            <w:tcBorders>
              <w:lef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357" w:type="dxa"/>
            <w:gridSpan w:val="6"/>
            <w:shd w:val="clear" w:color="auto" w:fill="auto"/>
            <w:vAlign w:val="bottom"/>
          </w:tcPr>
          <w:p>
            <w:pPr>
              <w:widowControl/>
              <w:spacing w:line="200" w:lineRule="exact"/>
              <w:ind w:left="13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总分</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67"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8"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7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80"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100</w:t>
            </w:r>
          </w:p>
        </w:tc>
        <w:tc>
          <w:tcPr>
            <w:tcW w:w="878"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100</w:t>
            </w:r>
          </w:p>
        </w:tc>
        <w:tc>
          <w:tcPr>
            <w:tcW w:w="1418"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2174" w:type="dxa"/>
            <w:gridSpan w:val="2"/>
            <w:tcBorders>
              <w:left w:val="single" w:color="auto" w:sz="8" w:space="0"/>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48"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7"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8"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7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80"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8"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70" w:hRule="atLeast"/>
        </w:trPr>
        <w:tc>
          <w:tcPr>
            <w:tcW w:w="2174" w:type="dxa"/>
            <w:gridSpan w:val="2"/>
            <w:shd w:val="clear" w:color="auto" w:fill="auto"/>
            <w:vAlign w:val="bottom"/>
          </w:tcPr>
          <w:p>
            <w:pPr>
              <w:widowControl/>
              <w:spacing w:line="240" w:lineRule="exact"/>
              <w:ind w:left="56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填表人:胡芳</w:t>
            </w:r>
          </w:p>
        </w:tc>
        <w:tc>
          <w:tcPr>
            <w:tcW w:w="1148" w:type="dxa"/>
            <w:gridSpan w:val="3"/>
            <w:shd w:val="clear" w:color="auto" w:fill="auto"/>
            <w:vAlign w:val="bottom"/>
          </w:tcPr>
          <w:p>
            <w:pPr>
              <w:widowControl/>
              <w:spacing w:line="240" w:lineRule="exact"/>
              <w:ind w:left="6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填报日期：</w:t>
            </w:r>
          </w:p>
        </w:tc>
        <w:tc>
          <w:tcPr>
            <w:tcW w:w="1209" w:type="dxa"/>
            <w:gridSpan w:val="3"/>
            <w:shd w:val="clear" w:color="auto" w:fill="auto"/>
            <w:vAlign w:val="bottom"/>
          </w:tcPr>
          <w:p>
            <w:pPr>
              <w:widowControl/>
              <w:spacing w:line="0" w:lineRule="atLeast"/>
              <w:jc w:val="left"/>
              <w:rPr>
                <w:rFonts w:ascii="Times New Roman" w:hAnsi="Times New Roman" w:eastAsia="宋体" w:cs="Times New Roman"/>
                <w:color w:val="auto"/>
                <w:kern w:val="0"/>
                <w:sz w:val="24"/>
                <w:szCs w:val="20"/>
              </w:rPr>
            </w:pPr>
            <w:r>
              <w:rPr>
                <w:rFonts w:ascii="Times New Roman" w:hAnsi="Times New Roman" w:eastAsia="宋体" w:cs="Times New Roman"/>
                <w:color w:val="auto"/>
                <w:kern w:val="0"/>
                <w:sz w:val="24"/>
                <w:szCs w:val="20"/>
              </w:rPr>
              <w:t>2021.04.20</w:t>
            </w:r>
          </w:p>
        </w:tc>
        <w:tc>
          <w:tcPr>
            <w:tcW w:w="1097" w:type="dxa"/>
            <w:gridSpan w:val="2"/>
            <w:shd w:val="clear" w:color="auto" w:fill="auto"/>
            <w:vAlign w:val="bottom"/>
          </w:tcPr>
          <w:p>
            <w:pPr>
              <w:widowControl/>
              <w:spacing w:line="240" w:lineRule="exact"/>
              <w:ind w:left="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联系电话：</w:t>
            </w:r>
          </w:p>
        </w:tc>
        <w:tc>
          <w:tcPr>
            <w:tcW w:w="998" w:type="dxa"/>
            <w:shd w:val="clear" w:color="auto" w:fill="auto"/>
            <w:vAlign w:val="bottom"/>
          </w:tcPr>
          <w:p>
            <w:pPr>
              <w:widowControl/>
              <w:spacing w:line="0" w:lineRule="atLeast"/>
              <w:jc w:val="left"/>
              <w:rPr>
                <w:rFonts w:ascii="Times New Roman" w:hAnsi="Times New Roman" w:eastAsia="宋体" w:cs="Times New Roman"/>
                <w:color w:val="auto"/>
                <w:kern w:val="0"/>
                <w:sz w:val="24"/>
                <w:szCs w:val="20"/>
              </w:rPr>
            </w:pPr>
            <w:r>
              <w:rPr>
                <w:rFonts w:ascii="Times New Roman" w:hAnsi="Times New Roman" w:eastAsia="宋体" w:cs="Times New Roman"/>
                <w:color w:val="auto"/>
                <w:kern w:val="0"/>
                <w:sz w:val="24"/>
                <w:szCs w:val="20"/>
              </w:rPr>
              <w:t>84802561</w:t>
            </w:r>
          </w:p>
        </w:tc>
        <w:tc>
          <w:tcPr>
            <w:tcW w:w="1836" w:type="dxa"/>
            <w:gridSpan w:val="4"/>
            <w:shd w:val="clear" w:color="auto" w:fill="auto"/>
            <w:vAlign w:val="bottom"/>
          </w:tcPr>
          <w:p>
            <w:pPr>
              <w:widowControl/>
              <w:spacing w:line="240" w:lineRule="exact"/>
              <w:ind w:right="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单位负责人签字：</w:t>
            </w:r>
          </w:p>
        </w:tc>
        <w:tc>
          <w:tcPr>
            <w:tcW w:w="1418" w:type="dxa"/>
            <w:shd w:val="clear" w:color="auto" w:fill="auto"/>
            <w:vAlign w:val="bottom"/>
          </w:tcPr>
          <w:p>
            <w:pPr>
              <w:widowControl/>
              <w:spacing w:line="0" w:lineRule="atLeast"/>
              <w:jc w:val="left"/>
              <w:rPr>
                <w:rFonts w:ascii="Times New Roman" w:hAnsi="Times New Roman" w:eastAsia="Times New Roman" w:cs="Times New Roman"/>
                <w:color w:val="auto"/>
                <w:kern w:val="0"/>
                <w:sz w:val="24"/>
                <w:szCs w:val="20"/>
              </w:rPr>
            </w:pPr>
          </w:p>
        </w:tc>
      </w:tr>
    </w:tbl>
    <w:p>
      <w:pPr>
        <w:ind w:firstLine="640" w:firstLineChars="200"/>
        <w:jc w:val="left"/>
        <w:rPr>
          <w:rFonts w:ascii="Times New Roman" w:hAnsi="Times New Roman" w:cs="Times New Roman"/>
          <w:color w:val="auto"/>
          <w:kern w:val="0"/>
          <w:sz w:val="32"/>
          <w:szCs w:val="32"/>
        </w:rPr>
      </w:pPr>
    </w:p>
    <w:p>
      <w:pPr>
        <w:widowControl/>
        <w:spacing w:line="366" w:lineRule="exact"/>
        <w:ind w:left="560"/>
        <w:jc w:val="left"/>
        <w:rPr>
          <w:rFonts w:ascii="Times New Roman" w:hAnsi="Times New Roman" w:eastAsia="宋体" w:cs="Times New Roman"/>
          <w:color w:val="auto"/>
          <w:kern w:val="0"/>
          <w:sz w:val="32"/>
          <w:szCs w:val="20"/>
        </w:rPr>
      </w:pPr>
      <w:r>
        <w:rPr>
          <w:rFonts w:ascii="Times New Roman" w:hAnsi="Times New Roman" w:eastAsia="宋体" w:cs="Times New Roman"/>
          <w:color w:val="auto"/>
          <w:kern w:val="0"/>
          <w:sz w:val="32"/>
          <w:szCs w:val="20"/>
        </w:rPr>
        <w:t>附件 3</w:t>
      </w:r>
    </w:p>
    <w:p>
      <w:pPr>
        <w:widowControl/>
        <w:spacing w:line="171" w:lineRule="exact"/>
        <w:jc w:val="left"/>
        <w:rPr>
          <w:rFonts w:ascii="Times New Roman" w:hAnsi="Times New Roman" w:eastAsia="Times New Roman" w:cs="Times New Roman"/>
          <w:color w:val="auto"/>
          <w:kern w:val="0"/>
          <w:sz w:val="20"/>
          <w:szCs w:val="20"/>
        </w:rPr>
      </w:pPr>
    </w:p>
    <w:p>
      <w:pPr>
        <w:widowControl/>
        <w:spacing w:line="411" w:lineRule="exact"/>
        <w:jc w:val="center"/>
        <w:rPr>
          <w:rFonts w:ascii="Times New Roman" w:hAnsi="Times New Roman" w:eastAsia="宋体" w:cs="Times New Roman"/>
          <w:color w:val="auto"/>
          <w:kern w:val="0"/>
          <w:sz w:val="36"/>
          <w:szCs w:val="20"/>
        </w:rPr>
      </w:pPr>
      <w:r>
        <w:rPr>
          <w:rFonts w:ascii="Times New Roman" w:hAnsi="Times New Roman" w:eastAsia="宋体" w:cs="Times New Roman"/>
          <w:color w:val="auto"/>
          <w:kern w:val="0"/>
          <w:sz w:val="36"/>
          <w:szCs w:val="20"/>
        </w:rPr>
        <w:t>2020 年度项目支出绩效自评表</w:t>
      </w:r>
    </w:p>
    <w:p>
      <w:pPr>
        <w:widowControl/>
        <w:spacing w:line="118" w:lineRule="exact"/>
        <w:jc w:val="left"/>
        <w:rPr>
          <w:rFonts w:ascii="Times New Roman" w:hAnsi="Times New Roman" w:eastAsia="Times New Roman" w:cs="Times New Roman"/>
          <w:color w:val="auto"/>
          <w:kern w:val="0"/>
          <w:sz w:val="20"/>
          <w:szCs w:val="20"/>
        </w:rPr>
      </w:pPr>
    </w:p>
    <w:tbl>
      <w:tblPr>
        <w:tblStyle w:val="7"/>
        <w:tblW w:w="9880" w:type="dxa"/>
        <w:tblInd w:w="10" w:type="dxa"/>
        <w:tblLayout w:type="fixed"/>
        <w:tblCellMar>
          <w:top w:w="0" w:type="dxa"/>
          <w:left w:w="0" w:type="dxa"/>
          <w:bottom w:w="0" w:type="dxa"/>
          <w:right w:w="0" w:type="dxa"/>
        </w:tblCellMar>
      </w:tblPr>
      <w:tblGrid>
        <w:gridCol w:w="1098"/>
        <w:gridCol w:w="1079"/>
        <w:gridCol w:w="1079"/>
        <w:gridCol w:w="30"/>
        <w:gridCol w:w="40"/>
        <w:gridCol w:w="999"/>
        <w:gridCol w:w="160"/>
        <w:gridCol w:w="198"/>
        <w:gridCol w:w="846"/>
        <w:gridCol w:w="1094"/>
        <w:gridCol w:w="181"/>
        <w:gridCol w:w="145"/>
        <w:gridCol w:w="633"/>
        <w:gridCol w:w="217"/>
        <w:gridCol w:w="662"/>
        <w:gridCol w:w="1419"/>
      </w:tblGrid>
      <w:tr>
        <w:tblPrEx>
          <w:tblCellMar>
            <w:top w:w="0" w:type="dxa"/>
            <w:left w:w="0" w:type="dxa"/>
            <w:bottom w:w="0" w:type="dxa"/>
            <w:right w:w="0" w:type="dxa"/>
          </w:tblCellMar>
        </w:tblPrEx>
        <w:trPr>
          <w:trHeight w:val="218" w:hRule="atLeast"/>
        </w:trPr>
        <w:tc>
          <w:tcPr>
            <w:tcW w:w="1098" w:type="dxa"/>
            <w:tcBorders>
              <w:top w:val="single" w:color="auto" w:sz="8" w:space="0"/>
              <w:left w:val="single" w:color="auto" w:sz="8" w:space="0"/>
              <w:right w:val="single" w:color="auto" w:sz="8" w:space="0"/>
            </w:tcBorders>
            <w:shd w:val="clear" w:color="auto" w:fill="auto"/>
            <w:vAlign w:val="bottom"/>
          </w:tcPr>
          <w:p>
            <w:pPr>
              <w:widowControl/>
              <w:spacing w:line="218"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项目支</w:t>
            </w:r>
          </w:p>
        </w:tc>
        <w:tc>
          <w:tcPr>
            <w:tcW w:w="1079"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9"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70"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9"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60"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44"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94"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326"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633" w:type="dxa"/>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79" w:type="dxa"/>
            <w:gridSpan w:val="2"/>
            <w:tcBorders>
              <w:top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19" w:type="dxa"/>
            <w:tcBorders>
              <w:top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260" w:hRule="atLeast"/>
        </w:trPr>
        <w:tc>
          <w:tcPr>
            <w:tcW w:w="1098"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出名称</w:t>
            </w:r>
          </w:p>
        </w:tc>
        <w:tc>
          <w:tcPr>
            <w:tcW w:w="4431" w:type="dxa"/>
            <w:gridSpan w:val="8"/>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宋体" w:cs="Times New Roman"/>
                <w:color w:val="auto"/>
                <w:kern w:val="0"/>
                <w:sz w:val="22"/>
                <w:szCs w:val="20"/>
              </w:rPr>
              <w:t>预警信息系统设备购置</w:t>
            </w: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326"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633" w:type="dxa"/>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879"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52"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6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44"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26"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33"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200" w:lineRule="exact"/>
              <w:ind w:left="1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主管部门</w:t>
            </w:r>
          </w:p>
        </w:tc>
        <w:tc>
          <w:tcPr>
            <w:tcW w:w="4431" w:type="dxa"/>
            <w:gridSpan w:val="8"/>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湖南省广播电视局</w:t>
            </w:r>
          </w:p>
        </w:tc>
        <w:tc>
          <w:tcPr>
            <w:tcW w:w="1094" w:type="dxa"/>
            <w:shd w:val="clear" w:color="auto" w:fill="auto"/>
            <w:vAlign w:val="bottom"/>
          </w:tcPr>
          <w:p>
            <w:pPr>
              <w:widowControl/>
              <w:spacing w:line="200" w:lineRule="exact"/>
              <w:ind w:left="1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实施单位</w:t>
            </w: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931" w:type="dxa"/>
            <w:gridSpan w:val="4"/>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湖南省广播电视监测与安全播出调度中心</w:t>
            </w:r>
          </w:p>
        </w:tc>
      </w:tr>
      <w:tr>
        <w:tblPrEx>
          <w:tblCellMar>
            <w:top w:w="0" w:type="dxa"/>
            <w:left w:w="0" w:type="dxa"/>
            <w:bottom w:w="0" w:type="dxa"/>
            <w:right w:w="0" w:type="dxa"/>
          </w:tblCellMar>
        </w:tblPrEx>
        <w:trPr>
          <w:trHeight w:val="62"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33"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9" w:type="dxa"/>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年初</w:t>
            </w: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1094" w:type="dxa"/>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全年</w:t>
            </w: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33"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879" w:type="dxa"/>
            <w:gridSpan w:val="2"/>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执行率</w:t>
            </w:r>
          </w:p>
        </w:tc>
        <w:tc>
          <w:tcPr>
            <w:tcW w:w="141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r>
      <w:tr>
        <w:tblPrEx>
          <w:tblCellMar>
            <w:top w:w="0" w:type="dxa"/>
            <w:left w:w="0" w:type="dxa"/>
            <w:bottom w:w="0" w:type="dxa"/>
            <w:right w:w="0" w:type="dxa"/>
          </w:tblCellMar>
        </w:tblPrEx>
        <w:trPr>
          <w:trHeight w:val="136"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9" w:type="dxa"/>
            <w:vMerge w:val="restart"/>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预算数</w:t>
            </w:r>
          </w:p>
        </w:tc>
        <w:tc>
          <w:tcPr>
            <w:tcW w:w="1094"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执行数</w:t>
            </w: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33"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9"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137"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9"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94"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33"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79"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33"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9"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left w:val="single" w:color="auto" w:sz="8" w:space="0"/>
              <w:right w:val="single" w:color="auto" w:sz="8" w:space="0"/>
            </w:tcBorders>
            <w:shd w:val="clear" w:color="auto" w:fill="auto"/>
            <w:vAlign w:val="bottom"/>
          </w:tcPr>
          <w:p>
            <w:pPr>
              <w:widowControl/>
              <w:spacing w:line="21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项目资金</w:t>
            </w:r>
          </w:p>
        </w:tc>
        <w:tc>
          <w:tcPr>
            <w:tcW w:w="2158" w:type="dxa"/>
            <w:gridSpan w:val="2"/>
            <w:tcBorders>
              <w:right w:val="single" w:color="auto" w:sz="8" w:space="0"/>
            </w:tcBorders>
            <w:shd w:val="clear" w:color="auto" w:fill="auto"/>
            <w:vAlign w:val="bottom"/>
          </w:tcPr>
          <w:p>
            <w:pPr>
              <w:widowControl/>
              <w:spacing w:line="208"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年度资金总额</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9" w:type="dxa"/>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75万元元</w:t>
            </w: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75万元</w:t>
            </w:r>
          </w:p>
        </w:tc>
        <w:tc>
          <w:tcPr>
            <w:tcW w:w="1094" w:type="dxa"/>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633" w:type="dxa"/>
            <w:tcBorders>
              <w:right w:val="single" w:color="auto" w:sz="8" w:space="0"/>
            </w:tcBorders>
            <w:shd w:val="clear" w:color="auto" w:fill="auto"/>
            <w:vAlign w:val="bottom"/>
          </w:tcPr>
          <w:p>
            <w:pPr>
              <w:widowControl/>
              <w:spacing w:line="208" w:lineRule="exact"/>
              <w:ind w:right="2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w:t>
            </w:r>
          </w:p>
        </w:tc>
        <w:tc>
          <w:tcPr>
            <w:tcW w:w="879"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80%</w:t>
            </w: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8</w:t>
            </w:r>
          </w:p>
        </w:tc>
      </w:tr>
      <w:tr>
        <w:tblPrEx>
          <w:tblCellMar>
            <w:top w:w="0" w:type="dxa"/>
            <w:left w:w="0" w:type="dxa"/>
            <w:bottom w:w="0" w:type="dxa"/>
            <w:right w:w="0" w:type="dxa"/>
          </w:tblCellMar>
        </w:tblPrEx>
        <w:trPr>
          <w:trHeight w:val="5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33"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79"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left w:val="single" w:color="auto" w:sz="8" w:space="0"/>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（万元）</w:t>
            </w:r>
          </w:p>
        </w:tc>
        <w:tc>
          <w:tcPr>
            <w:tcW w:w="2158" w:type="dxa"/>
            <w:gridSpan w:val="2"/>
            <w:tcBorders>
              <w:right w:val="single" w:color="auto" w:sz="8" w:space="0"/>
            </w:tcBorders>
            <w:shd w:val="clear" w:color="auto" w:fill="auto"/>
            <w:vAlign w:val="bottom"/>
          </w:tcPr>
          <w:p>
            <w:pPr>
              <w:widowControl/>
              <w:spacing w:line="199"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其中：当年财政拨款</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9"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75万元</w:t>
            </w: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75万元</w:t>
            </w: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33"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9"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33"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9"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8"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上年结转资金</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9"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1094" w:type="dxa"/>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p>
        </w:tc>
        <w:tc>
          <w:tcPr>
            <w:tcW w:w="633"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9"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33"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9"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58" w:type="dxa"/>
            <w:gridSpan w:val="2"/>
            <w:tcBorders>
              <w:right w:val="single" w:color="auto" w:sz="8" w:space="0"/>
            </w:tcBorders>
            <w:shd w:val="clear" w:color="auto" w:fill="auto"/>
            <w:vAlign w:val="bottom"/>
          </w:tcPr>
          <w:p>
            <w:pPr>
              <w:widowControl/>
              <w:spacing w:line="200" w:lineRule="exact"/>
              <w:ind w:left="7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其他资金</w:t>
            </w:r>
          </w:p>
        </w:tc>
        <w:tc>
          <w:tcPr>
            <w:tcW w:w="70"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9"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26"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33"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79"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26"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33"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79"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6" w:hRule="atLeast"/>
        </w:trPr>
        <w:tc>
          <w:tcPr>
            <w:tcW w:w="1098" w:type="dxa"/>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年度总体</w:t>
            </w:r>
          </w:p>
        </w:tc>
        <w:tc>
          <w:tcPr>
            <w:tcW w:w="1079"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48" w:type="dxa"/>
            <w:gridSpan w:val="4"/>
            <w:shd w:val="clear" w:color="auto" w:fill="auto"/>
            <w:vAlign w:val="bottom"/>
          </w:tcPr>
          <w:p>
            <w:pPr>
              <w:widowControl/>
              <w:spacing w:line="206" w:lineRule="exact"/>
              <w:ind w:left="7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预期目标</w:t>
            </w:r>
          </w:p>
        </w:tc>
        <w:tc>
          <w:tcPr>
            <w:tcW w:w="358"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26"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512" w:type="dxa"/>
            <w:gridSpan w:val="3"/>
            <w:shd w:val="clear" w:color="auto" w:fill="auto"/>
            <w:vAlign w:val="bottom"/>
          </w:tcPr>
          <w:p>
            <w:pPr>
              <w:widowControl/>
              <w:spacing w:line="206" w:lineRule="exact"/>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实际完成情况</w:t>
            </w:r>
          </w:p>
        </w:tc>
        <w:tc>
          <w:tcPr>
            <w:tcW w:w="141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6" w:hRule="atLeast"/>
        </w:trPr>
        <w:tc>
          <w:tcPr>
            <w:tcW w:w="1098"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目标</w:t>
            </w: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7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5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26"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50"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5"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6"/>
                <w:szCs w:val="20"/>
              </w:rPr>
            </w:pPr>
          </w:p>
        </w:tc>
        <w:tc>
          <w:tcPr>
            <w:tcW w:w="4431" w:type="dxa"/>
            <w:gridSpan w:val="8"/>
            <w:tcBorders>
              <w:right w:val="single" w:color="auto" w:sz="8" w:space="0"/>
            </w:tcBorders>
            <w:shd w:val="clear" w:color="auto" w:fill="auto"/>
          </w:tcPr>
          <w:p>
            <w:pPr>
              <w:widowControl/>
              <w:spacing w:line="0" w:lineRule="atLeast"/>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该系统2006年建成以来，期间多次进行软件升级，中心系统处于最优化状态，但地州市局台网、高山台及县前端机房预警接收终端设备2006年系统建成以来，一直使用至今，已严重老化，急需更换。恰逢建党100周年，为保障预警信息及时准确到达各级相关单位。</w:t>
            </w:r>
          </w:p>
        </w:tc>
        <w:tc>
          <w:tcPr>
            <w:tcW w:w="4351" w:type="dxa"/>
            <w:gridSpan w:val="7"/>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6"/>
                <w:szCs w:val="20"/>
              </w:rPr>
            </w:pPr>
            <w:r>
              <w:rPr>
                <w:rFonts w:ascii="Times New Roman" w:hAnsi="Times New Roman" w:eastAsia="宋体" w:cs="Times New Roman"/>
                <w:color w:val="auto"/>
                <w:kern w:val="0"/>
                <w:sz w:val="16"/>
                <w:szCs w:val="20"/>
              </w:rPr>
              <w:t>已完成政府采购流程，签订采购合同，按照合同2021年进行采购及支付款项。</w:t>
            </w:r>
          </w:p>
        </w:tc>
      </w:tr>
      <w:tr>
        <w:tblPrEx>
          <w:tblCellMar>
            <w:top w:w="0" w:type="dxa"/>
            <w:left w:w="0" w:type="dxa"/>
            <w:bottom w:w="0" w:type="dxa"/>
            <w:right w:w="0" w:type="dxa"/>
          </w:tblCellMar>
        </w:tblPrEx>
        <w:trPr>
          <w:trHeight w:val="69"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8"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39"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年度</w:t>
            </w:r>
          </w:p>
        </w:tc>
        <w:tc>
          <w:tcPr>
            <w:tcW w:w="1094" w:type="dxa"/>
            <w:vMerge w:val="restart"/>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实际</w:t>
            </w: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tcBorders>
              <w:right w:val="single" w:color="auto" w:sz="8" w:space="0"/>
            </w:tcBorders>
            <w:shd w:val="clear" w:color="auto" w:fill="auto"/>
            <w:vAlign w:val="bottom"/>
          </w:tcPr>
          <w:p>
            <w:pPr>
              <w:widowControl/>
              <w:spacing w:line="19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偏差原因</w:t>
            </w:r>
          </w:p>
        </w:tc>
      </w:tr>
      <w:tr>
        <w:tblPrEx>
          <w:tblCellMar>
            <w:top w:w="0" w:type="dxa"/>
            <w:left w:w="0" w:type="dxa"/>
            <w:bottom w:w="0" w:type="dxa"/>
            <w:right w:w="0" w:type="dxa"/>
          </w:tblCellMar>
        </w:tblPrEx>
        <w:trPr>
          <w:trHeight w:val="10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79"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一级指标</w:t>
            </w:r>
          </w:p>
        </w:tc>
        <w:tc>
          <w:tcPr>
            <w:tcW w:w="1079"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二级指标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39" w:type="dxa"/>
            <w:gridSpan w:val="2"/>
            <w:vMerge w:val="restart"/>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三级指标</w:t>
            </w: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846"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094"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8"/>
                <w:szCs w:val="20"/>
              </w:rPr>
            </w:pPr>
          </w:p>
        </w:tc>
        <w:tc>
          <w:tcPr>
            <w:tcW w:w="995" w:type="dxa"/>
            <w:gridSpan w:val="3"/>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分值</w:t>
            </w:r>
          </w:p>
        </w:tc>
        <w:tc>
          <w:tcPr>
            <w:tcW w:w="662"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得分</w:t>
            </w:r>
          </w:p>
        </w:tc>
        <w:tc>
          <w:tcPr>
            <w:tcW w:w="1419" w:type="dxa"/>
            <w:vMerge w:val="restart"/>
            <w:tcBorders>
              <w:right w:val="single" w:color="auto" w:sz="8" w:space="0"/>
            </w:tcBorders>
            <w:shd w:val="clear" w:color="auto" w:fill="auto"/>
            <w:vAlign w:val="bottom"/>
          </w:tcPr>
          <w:p>
            <w:pPr>
              <w:widowControl/>
              <w:spacing w:line="223"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分析及</w:t>
            </w:r>
          </w:p>
        </w:tc>
      </w:tr>
      <w:tr>
        <w:tblPrEx>
          <w:tblCellMar>
            <w:top w:w="0" w:type="dxa"/>
            <w:left w:w="0" w:type="dxa"/>
            <w:bottom w:w="0" w:type="dxa"/>
            <w:right w:w="0" w:type="dxa"/>
          </w:tblCellMar>
        </w:tblPrEx>
        <w:trPr>
          <w:trHeight w:val="12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39" w:type="dxa"/>
            <w:gridSpan w:val="2"/>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46"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指标值</w:t>
            </w:r>
          </w:p>
        </w:tc>
        <w:tc>
          <w:tcPr>
            <w:tcW w:w="1094" w:type="dxa"/>
            <w:vMerge w:val="restart"/>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完成值</w:t>
            </w: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5" w:type="dxa"/>
            <w:gridSpan w:val="3"/>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12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39"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46"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94" w:type="dxa"/>
            <w:vMerge w:val="continue"/>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5" w:type="dxa"/>
            <w:gridSpan w:val="3"/>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662"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改进措施</w:t>
            </w:r>
          </w:p>
        </w:tc>
      </w:tr>
      <w:tr>
        <w:tblPrEx>
          <w:tblCellMar>
            <w:top w:w="0" w:type="dxa"/>
            <w:left w:w="0" w:type="dxa"/>
            <w:bottom w:w="0" w:type="dxa"/>
            <w:right w:w="0" w:type="dxa"/>
          </w:tblCellMar>
        </w:tblPrEx>
        <w:trPr>
          <w:trHeight w:val="12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39"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358" w:type="dxa"/>
            <w:gridSpan w:val="2"/>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846"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995" w:type="dxa"/>
            <w:gridSpan w:val="3"/>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662"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0"/>
                <w:szCs w:val="20"/>
              </w:rPr>
            </w:pPr>
          </w:p>
        </w:tc>
      </w:tr>
      <w:tr>
        <w:tblPrEx>
          <w:tblCellMar>
            <w:top w:w="0" w:type="dxa"/>
            <w:left w:w="0" w:type="dxa"/>
            <w:bottom w:w="0" w:type="dxa"/>
            <w:right w:w="0" w:type="dxa"/>
          </w:tblCellMar>
        </w:tblPrEx>
        <w:trPr>
          <w:trHeight w:val="49"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99"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199" w:lineRule="exact"/>
              <w:ind w:left="4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设备数量</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9" w:type="dxa"/>
            <w:vMerge w:val="restart"/>
            <w:tcBorders>
              <w:right w:val="single" w:color="auto" w:sz="8" w:space="0"/>
            </w:tcBorders>
            <w:shd w:val="clear" w:color="auto" w:fill="auto"/>
            <w:vAlign w:val="center"/>
          </w:tcPr>
          <w:p>
            <w:pPr>
              <w:widowControl/>
              <w:spacing w:line="0" w:lineRule="atLeast"/>
              <w:jc w:val="center"/>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按照合同条款，2021年所有设备到位。</w:t>
            </w: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数量指标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20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设备完好率</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产出指标</w:t>
            </w:r>
          </w:p>
        </w:tc>
        <w:tc>
          <w:tcPr>
            <w:tcW w:w="1079" w:type="dxa"/>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质量指标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9"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6"/>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2"/>
                <w:kern w:val="0"/>
                <w:szCs w:val="20"/>
              </w:rPr>
            </w:pPr>
            <w:r>
              <w:rPr>
                <w:rFonts w:ascii="Times New Roman" w:hAnsi="Times New Roman" w:eastAsia="宋体" w:cs="Times New Roman"/>
                <w:color w:val="auto"/>
                <w:w w:val="92"/>
                <w:kern w:val="0"/>
                <w:szCs w:val="20"/>
              </w:rPr>
              <w:t>(50 分)</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Cs w:val="20"/>
              </w:rPr>
              <w:t>运行时间</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8" w:hRule="atLeast"/>
        </w:trPr>
        <w:tc>
          <w:tcPr>
            <w:tcW w:w="1098"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restart"/>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时效指标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63"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4" w:hRule="atLeast"/>
        </w:trPr>
        <w:tc>
          <w:tcPr>
            <w:tcW w:w="1098"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Cs w:val="20"/>
              </w:rPr>
              <w:t>维护费支出率</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12.5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57"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257" w:hRule="atLeast"/>
        </w:trPr>
        <w:tc>
          <w:tcPr>
            <w:tcW w:w="1098" w:type="dxa"/>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9" w:type="dxa"/>
            <w:tcBorders>
              <w:right w:val="single" w:color="auto" w:sz="8" w:space="0"/>
            </w:tcBorders>
            <w:shd w:val="clear" w:color="auto" w:fill="auto"/>
            <w:vAlign w:val="bottom"/>
          </w:tcPr>
          <w:p>
            <w:pPr>
              <w:widowControl/>
              <w:spacing w:line="208"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成本指标</w:t>
            </w: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22"/>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21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经济效</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Cs w:val="20"/>
              </w:rPr>
              <w:t>资金到位率</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8</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1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079" w:type="dxa"/>
            <w:tcBorders>
              <w:right w:val="single" w:color="auto" w:sz="8" w:space="0"/>
            </w:tcBorders>
            <w:shd w:val="clear" w:color="auto" w:fill="auto"/>
            <w:vAlign w:val="bottom"/>
          </w:tcPr>
          <w:p>
            <w:pPr>
              <w:widowControl/>
              <w:spacing w:line="210" w:lineRule="exact"/>
              <w:ind w:left="10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效益指标</w:t>
            </w: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社会效</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r>
              <w:rPr>
                <w:rFonts w:ascii="Times New Roman" w:hAnsi="Times New Roman" w:eastAsia="宋体" w:cs="Times New Roman"/>
                <w:color w:val="auto"/>
                <w:kern w:val="0"/>
                <w:szCs w:val="20"/>
              </w:rPr>
              <w:t>上传下达效率</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r>
              <w:rPr>
                <w:rFonts w:ascii="Times New Roman" w:hAnsi="Times New Roman" w:eastAsia="Times New Roman" w:cs="Times New Roman"/>
                <w:color w:val="auto"/>
                <w:kern w:val="0"/>
                <w:sz w:val="18"/>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10</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8"/>
                <w:szCs w:val="20"/>
              </w:rPr>
            </w:pPr>
            <w:r>
              <w:rPr>
                <w:rFonts w:ascii="Times New Roman" w:hAnsi="Times New Roman" w:eastAsia="宋体" w:cs="Times New Roman"/>
                <w:color w:val="auto"/>
                <w:kern w:val="0"/>
                <w:sz w:val="18"/>
                <w:szCs w:val="20"/>
              </w:rPr>
              <w:t>8</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8"/>
                <w:szCs w:val="20"/>
              </w:rPr>
            </w:pPr>
          </w:p>
        </w:tc>
      </w:tr>
      <w:tr>
        <w:tblPrEx>
          <w:tblCellMar>
            <w:top w:w="0" w:type="dxa"/>
            <w:left w:w="0" w:type="dxa"/>
            <w:bottom w:w="0" w:type="dxa"/>
            <w:right w:w="0" w:type="dxa"/>
          </w:tblCellMar>
        </w:tblPrEx>
        <w:trPr>
          <w:trHeight w:val="5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6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（30 分）</w:t>
            </w: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6"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99"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生态效</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Cs w:val="20"/>
              </w:rPr>
              <w:t>提升公共服务水平</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8</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37"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益指标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1"/>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5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47"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2"/>
                <w:szCs w:val="20"/>
              </w:rPr>
            </w:pPr>
          </w:p>
        </w:tc>
      </w:tr>
      <w:tr>
        <w:tblPrEx>
          <w:tblCellMar>
            <w:top w:w="0" w:type="dxa"/>
            <w:left w:w="0" w:type="dxa"/>
            <w:bottom w:w="0" w:type="dxa"/>
            <w:right w:w="0" w:type="dxa"/>
          </w:tblCellMar>
        </w:tblPrEx>
        <w:trPr>
          <w:trHeight w:val="74"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可持续影</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Cs w:val="20"/>
              </w:rPr>
              <w:t>保障预警信息调度</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Times New Roman" w:cs="Times New Roman"/>
                <w:color w:val="auto"/>
                <w:kern w:val="0"/>
                <w:sz w:val="17"/>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4</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64" w:hRule="atLeast"/>
        </w:trPr>
        <w:tc>
          <w:tcPr>
            <w:tcW w:w="1098" w:type="dxa"/>
            <w:vMerge w:val="restart"/>
            <w:tcBorders>
              <w:left w:val="single" w:color="auto" w:sz="8" w:space="0"/>
              <w:right w:val="single" w:color="auto" w:sz="8" w:space="0"/>
            </w:tcBorders>
            <w:shd w:val="clear" w:color="auto" w:fill="auto"/>
            <w:vAlign w:val="bottom"/>
          </w:tcPr>
          <w:p>
            <w:pPr>
              <w:widowControl/>
              <w:spacing w:line="21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绩</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151"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响指标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46"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55" w:hRule="atLeast"/>
        </w:trPr>
        <w:tc>
          <w:tcPr>
            <w:tcW w:w="1098" w:type="dxa"/>
            <w:vMerge w:val="restart"/>
            <w:tcBorders>
              <w:left w:val="single" w:color="auto" w:sz="8" w:space="0"/>
              <w:right w:val="single" w:color="auto" w:sz="8" w:space="0"/>
            </w:tcBorders>
            <w:shd w:val="clear" w:color="auto" w:fill="auto"/>
            <w:vAlign w:val="bottom"/>
          </w:tcPr>
          <w:p>
            <w:pPr>
              <w:widowControl/>
              <w:spacing w:line="206"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效</w:t>
            </w: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4"/>
                <w:szCs w:val="20"/>
              </w:rPr>
            </w:pPr>
          </w:p>
        </w:tc>
      </w:tr>
      <w:tr>
        <w:tblPrEx>
          <w:tblCellMar>
            <w:top w:w="0" w:type="dxa"/>
            <w:left w:w="0" w:type="dxa"/>
            <w:bottom w:w="0" w:type="dxa"/>
            <w:right w:w="0" w:type="dxa"/>
          </w:tblCellMar>
        </w:tblPrEx>
        <w:trPr>
          <w:trHeight w:val="151"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079"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3"/>
                <w:szCs w:val="20"/>
              </w:rPr>
            </w:pPr>
          </w:p>
        </w:tc>
      </w:tr>
      <w:tr>
        <w:tblPrEx>
          <w:tblCellMar>
            <w:top w:w="0" w:type="dxa"/>
            <w:left w:w="0" w:type="dxa"/>
            <w:bottom w:w="0" w:type="dxa"/>
            <w:right w:w="0" w:type="dxa"/>
          </w:tblCellMar>
        </w:tblPrEx>
        <w:trPr>
          <w:trHeight w:val="58" w:hRule="atLeast"/>
        </w:trPr>
        <w:tc>
          <w:tcPr>
            <w:tcW w:w="1098" w:type="dxa"/>
            <w:vMerge w:val="restart"/>
            <w:tcBorders>
              <w:left w:val="single" w:color="auto" w:sz="8" w:space="0"/>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指</w:t>
            </w: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39" w:type="dxa"/>
            <w:gridSpan w:val="2"/>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62" w:hRule="atLeast"/>
        </w:trPr>
        <w:tc>
          <w:tcPr>
            <w:tcW w:w="1098"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079"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8"/>
                <w:kern w:val="0"/>
                <w:szCs w:val="20"/>
              </w:rPr>
            </w:pPr>
            <w:r>
              <w:rPr>
                <w:rFonts w:ascii="Times New Roman" w:hAnsi="Times New Roman" w:eastAsia="宋体" w:cs="Times New Roman"/>
                <w:color w:val="auto"/>
                <w:w w:val="98"/>
                <w:kern w:val="0"/>
                <w:szCs w:val="20"/>
              </w:rPr>
              <w:t>满意度</w:t>
            </w:r>
          </w:p>
        </w:tc>
        <w:tc>
          <w:tcPr>
            <w:tcW w:w="1079" w:type="dxa"/>
            <w:tcBorders>
              <w:right w:val="single" w:color="auto" w:sz="8" w:space="0"/>
            </w:tcBorders>
            <w:shd w:val="clear" w:color="auto" w:fill="auto"/>
            <w:vAlign w:val="bottom"/>
          </w:tcPr>
          <w:p>
            <w:pPr>
              <w:widowControl/>
              <w:spacing w:line="20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服务对象</w:t>
            </w: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c>
          <w:tcPr>
            <w:tcW w:w="1397" w:type="dxa"/>
            <w:gridSpan w:val="4"/>
            <w:vMerge w:val="restart"/>
            <w:tcBorders>
              <w:right w:val="single" w:color="auto" w:sz="8" w:space="0"/>
            </w:tcBorders>
            <w:shd w:val="clear" w:color="auto" w:fill="auto"/>
            <w:vAlign w:val="bottom"/>
          </w:tcPr>
          <w:p>
            <w:pPr>
              <w:widowControl/>
              <w:spacing w:line="208" w:lineRule="exact"/>
              <w:ind w:left="4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群众满意度</w:t>
            </w:r>
          </w:p>
        </w:tc>
        <w:tc>
          <w:tcPr>
            <w:tcW w:w="846" w:type="dxa"/>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Times New Roman" w:cs="Times New Roman"/>
                <w:color w:val="auto"/>
                <w:kern w:val="0"/>
                <w:sz w:val="22"/>
                <w:szCs w:val="20"/>
              </w:rPr>
              <w:t>100%</w:t>
            </w:r>
          </w:p>
        </w:tc>
        <w:tc>
          <w:tcPr>
            <w:tcW w:w="1275" w:type="dxa"/>
            <w:gridSpan w:val="2"/>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r>
              <w:rPr>
                <w:rFonts w:ascii="Times New Roman" w:hAnsi="Times New Roman" w:eastAsia="宋体" w:cs="Times New Roman"/>
                <w:color w:val="auto"/>
                <w:kern w:val="0"/>
                <w:sz w:val="17"/>
                <w:szCs w:val="20"/>
              </w:rPr>
              <w:t>80%</w:t>
            </w:r>
          </w:p>
        </w:tc>
        <w:tc>
          <w:tcPr>
            <w:tcW w:w="995" w:type="dxa"/>
            <w:gridSpan w:val="3"/>
            <w:vMerge w:val="restart"/>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5</w:t>
            </w:r>
          </w:p>
        </w:tc>
        <w:tc>
          <w:tcPr>
            <w:tcW w:w="662" w:type="dxa"/>
            <w:vMerge w:val="restart"/>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22"/>
                <w:szCs w:val="20"/>
              </w:rPr>
            </w:pPr>
            <w:r>
              <w:rPr>
                <w:rFonts w:ascii="Times New Roman" w:hAnsi="Times New Roman" w:eastAsia="宋体" w:cs="Times New Roman"/>
                <w:color w:val="auto"/>
                <w:kern w:val="0"/>
                <w:sz w:val="22"/>
                <w:szCs w:val="20"/>
              </w:rPr>
              <w:t>4</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22"/>
                <w:szCs w:val="20"/>
              </w:rPr>
            </w:pPr>
          </w:p>
        </w:tc>
      </w:tr>
      <w:tr>
        <w:tblPrEx>
          <w:tblCellMar>
            <w:top w:w="0" w:type="dxa"/>
            <w:left w:w="0" w:type="dxa"/>
            <w:bottom w:w="0" w:type="dxa"/>
            <w:right w:w="0" w:type="dxa"/>
          </w:tblCellMar>
        </w:tblPrEx>
        <w:trPr>
          <w:trHeight w:val="199" w:hRule="atLeast"/>
        </w:trPr>
        <w:tc>
          <w:tcPr>
            <w:tcW w:w="1098" w:type="dxa"/>
            <w:tcBorders>
              <w:left w:val="single" w:color="auto" w:sz="8" w:space="0"/>
              <w:right w:val="single" w:color="auto" w:sz="8" w:space="0"/>
            </w:tcBorders>
            <w:shd w:val="clear" w:color="auto" w:fill="auto"/>
            <w:vAlign w:val="bottom"/>
          </w:tcPr>
          <w:p>
            <w:pPr>
              <w:widowControl/>
              <w:spacing w:line="185"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1079"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指标</w:t>
            </w:r>
          </w:p>
        </w:tc>
        <w:tc>
          <w:tcPr>
            <w:tcW w:w="1079" w:type="dxa"/>
            <w:tcBorders>
              <w:right w:val="single" w:color="auto" w:sz="8" w:space="0"/>
            </w:tcBorders>
            <w:shd w:val="clear" w:color="auto" w:fill="auto"/>
            <w:vAlign w:val="bottom"/>
          </w:tcPr>
          <w:p>
            <w:pPr>
              <w:widowControl/>
              <w:spacing w:line="199" w:lineRule="exact"/>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满意度指</w:t>
            </w: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3"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vMerge w:val="restart"/>
            <w:tcBorders>
              <w:right w:val="single" w:color="auto" w:sz="8" w:space="0"/>
            </w:tcBorders>
            <w:shd w:val="clear" w:color="auto" w:fill="auto"/>
            <w:vAlign w:val="bottom"/>
          </w:tcPr>
          <w:p>
            <w:pPr>
              <w:widowControl/>
              <w:spacing w:line="240" w:lineRule="exact"/>
              <w:ind w:left="100"/>
              <w:jc w:val="left"/>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（10 分）</w:t>
            </w:r>
          </w:p>
        </w:tc>
        <w:tc>
          <w:tcPr>
            <w:tcW w:w="1079" w:type="dxa"/>
            <w:vMerge w:val="restart"/>
            <w:tcBorders>
              <w:right w:val="single" w:color="auto" w:sz="8" w:space="0"/>
            </w:tcBorders>
            <w:shd w:val="clear" w:color="auto" w:fill="auto"/>
            <w:vAlign w:val="bottom"/>
          </w:tcPr>
          <w:p>
            <w:pPr>
              <w:widowControl/>
              <w:spacing w:line="24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标</w:t>
            </w:r>
          </w:p>
        </w:tc>
        <w:tc>
          <w:tcPr>
            <w:tcW w:w="30"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30"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397" w:type="dxa"/>
            <w:gridSpan w:val="4"/>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275" w:type="dxa"/>
            <w:gridSpan w:val="2"/>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vMerge w:val="continue"/>
            <w:tcBorders>
              <w:left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662"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1098" w:type="dxa"/>
            <w:tcBorders>
              <w:left w:val="single" w:color="auto" w:sz="8" w:space="0"/>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7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6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358" w:type="dxa"/>
            <w:gridSpan w:val="2"/>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846"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200" w:hRule="atLeast"/>
        </w:trPr>
        <w:tc>
          <w:tcPr>
            <w:tcW w:w="1098" w:type="dxa"/>
            <w:tcBorders>
              <w:lef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79"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2148" w:type="dxa"/>
            <w:gridSpan w:val="4"/>
            <w:shd w:val="clear" w:color="auto" w:fill="auto"/>
            <w:vAlign w:val="bottom"/>
          </w:tcPr>
          <w:p>
            <w:pPr>
              <w:widowControl/>
              <w:spacing w:line="200" w:lineRule="exact"/>
              <w:ind w:left="135"/>
              <w:jc w:val="center"/>
              <w:rPr>
                <w:rFonts w:ascii="Times New Roman" w:hAnsi="Times New Roman" w:eastAsia="宋体" w:cs="Times New Roman"/>
                <w:color w:val="auto"/>
                <w:w w:val="99"/>
                <w:kern w:val="0"/>
                <w:szCs w:val="20"/>
              </w:rPr>
            </w:pPr>
            <w:r>
              <w:rPr>
                <w:rFonts w:ascii="Times New Roman" w:hAnsi="Times New Roman" w:eastAsia="宋体" w:cs="Times New Roman"/>
                <w:color w:val="auto"/>
                <w:w w:val="99"/>
                <w:kern w:val="0"/>
                <w:szCs w:val="20"/>
              </w:rPr>
              <w:t>总分</w:t>
            </w:r>
          </w:p>
        </w:tc>
        <w:tc>
          <w:tcPr>
            <w:tcW w:w="358" w:type="dxa"/>
            <w:gridSpan w:val="2"/>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846"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094" w:type="dxa"/>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181" w:type="dxa"/>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c>
          <w:tcPr>
            <w:tcW w:w="995" w:type="dxa"/>
            <w:gridSpan w:val="3"/>
            <w:tcBorders>
              <w:right w:val="single" w:color="auto" w:sz="8" w:space="0"/>
            </w:tcBorders>
            <w:shd w:val="clear" w:color="auto" w:fill="auto"/>
            <w:vAlign w:val="bottom"/>
          </w:tcPr>
          <w:p>
            <w:pPr>
              <w:widowControl/>
              <w:spacing w:line="200" w:lineRule="exact"/>
              <w:jc w:val="center"/>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100</w:t>
            </w:r>
          </w:p>
        </w:tc>
        <w:tc>
          <w:tcPr>
            <w:tcW w:w="662" w:type="dxa"/>
            <w:tcBorders>
              <w:right w:val="single" w:color="auto" w:sz="8" w:space="0"/>
            </w:tcBorders>
            <w:shd w:val="clear" w:color="auto" w:fill="auto"/>
            <w:vAlign w:val="bottom"/>
          </w:tcPr>
          <w:p>
            <w:pPr>
              <w:widowControl/>
              <w:spacing w:line="0" w:lineRule="atLeast"/>
              <w:jc w:val="left"/>
              <w:rPr>
                <w:rFonts w:ascii="Times New Roman" w:hAnsi="Times New Roman" w:eastAsia="宋体" w:cs="Times New Roman"/>
                <w:color w:val="auto"/>
                <w:kern w:val="0"/>
                <w:sz w:val="17"/>
                <w:szCs w:val="20"/>
              </w:rPr>
            </w:pPr>
            <w:r>
              <w:rPr>
                <w:rFonts w:ascii="Times New Roman" w:hAnsi="Times New Roman" w:eastAsia="宋体" w:cs="Times New Roman"/>
                <w:color w:val="auto"/>
                <w:kern w:val="0"/>
                <w:sz w:val="17"/>
                <w:szCs w:val="20"/>
              </w:rPr>
              <w:t>100</w:t>
            </w:r>
          </w:p>
        </w:tc>
        <w:tc>
          <w:tcPr>
            <w:tcW w:w="1419" w:type="dxa"/>
            <w:vMerge w:val="continue"/>
            <w:tcBorders>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17"/>
                <w:szCs w:val="20"/>
              </w:rPr>
            </w:pPr>
          </w:p>
        </w:tc>
      </w:tr>
      <w:tr>
        <w:tblPrEx>
          <w:tblCellMar>
            <w:top w:w="0" w:type="dxa"/>
            <w:left w:w="0" w:type="dxa"/>
            <w:bottom w:w="0" w:type="dxa"/>
            <w:right w:w="0" w:type="dxa"/>
          </w:tblCellMar>
        </w:tblPrEx>
        <w:trPr>
          <w:trHeight w:val="62" w:hRule="atLeast"/>
        </w:trPr>
        <w:tc>
          <w:tcPr>
            <w:tcW w:w="2177" w:type="dxa"/>
            <w:gridSpan w:val="2"/>
            <w:tcBorders>
              <w:left w:val="single" w:color="auto" w:sz="8" w:space="0"/>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149"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9"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204" w:type="dxa"/>
            <w:gridSpan w:val="3"/>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094" w:type="dxa"/>
            <w:tcBorders>
              <w:bottom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81"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995" w:type="dxa"/>
            <w:gridSpan w:val="3"/>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662"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c>
          <w:tcPr>
            <w:tcW w:w="1419" w:type="dxa"/>
            <w:tcBorders>
              <w:bottom w:val="single" w:color="auto" w:sz="8" w:space="0"/>
              <w:right w:val="single" w:color="auto" w:sz="8" w:space="0"/>
            </w:tcBorders>
            <w:shd w:val="clear" w:color="auto" w:fill="auto"/>
            <w:vAlign w:val="bottom"/>
          </w:tcPr>
          <w:p>
            <w:pPr>
              <w:widowControl/>
              <w:spacing w:line="0" w:lineRule="atLeast"/>
              <w:jc w:val="left"/>
              <w:rPr>
                <w:rFonts w:ascii="Times New Roman" w:hAnsi="Times New Roman" w:eastAsia="Times New Roman" w:cs="Times New Roman"/>
                <w:color w:val="auto"/>
                <w:kern w:val="0"/>
                <w:sz w:val="5"/>
                <w:szCs w:val="20"/>
              </w:rPr>
            </w:pPr>
          </w:p>
        </w:tc>
      </w:tr>
      <w:tr>
        <w:tblPrEx>
          <w:tblCellMar>
            <w:top w:w="0" w:type="dxa"/>
            <w:left w:w="0" w:type="dxa"/>
            <w:bottom w:w="0" w:type="dxa"/>
            <w:right w:w="0" w:type="dxa"/>
          </w:tblCellMar>
        </w:tblPrEx>
        <w:trPr>
          <w:trHeight w:val="470" w:hRule="atLeast"/>
        </w:trPr>
        <w:tc>
          <w:tcPr>
            <w:tcW w:w="2177" w:type="dxa"/>
            <w:gridSpan w:val="2"/>
            <w:shd w:val="clear" w:color="auto" w:fill="auto"/>
            <w:vAlign w:val="bottom"/>
          </w:tcPr>
          <w:p>
            <w:pPr>
              <w:widowControl/>
              <w:spacing w:line="24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填表人：胡芳</w:t>
            </w:r>
          </w:p>
        </w:tc>
        <w:tc>
          <w:tcPr>
            <w:tcW w:w="2148" w:type="dxa"/>
            <w:gridSpan w:val="4"/>
            <w:shd w:val="clear" w:color="auto" w:fill="auto"/>
            <w:vAlign w:val="bottom"/>
          </w:tcPr>
          <w:p>
            <w:pPr>
              <w:widowControl/>
              <w:spacing w:line="240" w:lineRule="exact"/>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填报日期：</w:t>
            </w:r>
            <w:r>
              <w:rPr>
                <w:rFonts w:ascii="Times New Roman" w:hAnsi="Times New Roman" w:eastAsia="宋体" w:cs="Times New Roman"/>
                <w:color w:val="auto"/>
                <w:kern w:val="0"/>
                <w:sz w:val="24"/>
                <w:szCs w:val="20"/>
              </w:rPr>
              <w:t>2021. 4.20</w:t>
            </w:r>
          </w:p>
        </w:tc>
        <w:tc>
          <w:tcPr>
            <w:tcW w:w="1204" w:type="dxa"/>
            <w:gridSpan w:val="3"/>
            <w:shd w:val="clear" w:color="auto" w:fill="auto"/>
            <w:vAlign w:val="bottom"/>
          </w:tcPr>
          <w:p>
            <w:pPr>
              <w:widowControl/>
              <w:spacing w:line="240" w:lineRule="exact"/>
              <w:ind w:left="20"/>
              <w:jc w:val="lef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联系电话：</w:t>
            </w:r>
          </w:p>
        </w:tc>
        <w:tc>
          <w:tcPr>
            <w:tcW w:w="1094" w:type="dxa"/>
            <w:shd w:val="clear" w:color="auto" w:fill="auto"/>
            <w:vAlign w:val="bottom"/>
          </w:tcPr>
          <w:p>
            <w:pPr>
              <w:widowControl/>
              <w:spacing w:line="0" w:lineRule="atLeast"/>
              <w:jc w:val="left"/>
              <w:rPr>
                <w:rFonts w:ascii="Times New Roman" w:hAnsi="Times New Roman" w:eastAsia="宋体" w:cs="Times New Roman"/>
                <w:color w:val="auto"/>
                <w:kern w:val="0"/>
                <w:sz w:val="24"/>
                <w:szCs w:val="20"/>
              </w:rPr>
            </w:pPr>
            <w:r>
              <w:rPr>
                <w:rFonts w:ascii="Times New Roman" w:hAnsi="Times New Roman" w:eastAsia="宋体" w:cs="Times New Roman"/>
                <w:color w:val="auto"/>
                <w:kern w:val="0"/>
                <w:sz w:val="24"/>
                <w:szCs w:val="20"/>
              </w:rPr>
              <w:t>84802561</w:t>
            </w:r>
          </w:p>
        </w:tc>
        <w:tc>
          <w:tcPr>
            <w:tcW w:w="1838" w:type="dxa"/>
            <w:gridSpan w:val="5"/>
            <w:shd w:val="clear" w:color="auto" w:fill="auto"/>
            <w:vAlign w:val="bottom"/>
          </w:tcPr>
          <w:p>
            <w:pPr>
              <w:widowControl/>
              <w:spacing w:line="240" w:lineRule="exact"/>
              <w:ind w:right="15"/>
              <w:jc w:val="right"/>
              <w:rPr>
                <w:rFonts w:ascii="Times New Roman" w:hAnsi="Times New Roman" w:eastAsia="宋体" w:cs="Times New Roman"/>
                <w:color w:val="auto"/>
                <w:kern w:val="0"/>
                <w:szCs w:val="20"/>
              </w:rPr>
            </w:pPr>
            <w:r>
              <w:rPr>
                <w:rFonts w:ascii="Times New Roman" w:hAnsi="Times New Roman" w:eastAsia="宋体" w:cs="Times New Roman"/>
                <w:color w:val="auto"/>
                <w:kern w:val="0"/>
                <w:szCs w:val="20"/>
              </w:rPr>
              <w:t>单位负责人签字：</w:t>
            </w:r>
          </w:p>
        </w:tc>
        <w:tc>
          <w:tcPr>
            <w:tcW w:w="1419" w:type="dxa"/>
            <w:shd w:val="clear" w:color="auto" w:fill="auto"/>
            <w:vAlign w:val="bottom"/>
          </w:tcPr>
          <w:p>
            <w:pPr>
              <w:widowControl/>
              <w:spacing w:line="0" w:lineRule="atLeast"/>
              <w:jc w:val="left"/>
              <w:rPr>
                <w:rFonts w:ascii="Times New Roman" w:hAnsi="Times New Roman" w:eastAsia="Times New Roman" w:cs="Times New Roman"/>
                <w:color w:val="auto"/>
                <w:kern w:val="0"/>
                <w:sz w:val="24"/>
                <w:szCs w:val="20"/>
              </w:rPr>
            </w:pPr>
          </w:p>
        </w:tc>
      </w:tr>
    </w:tbl>
    <w:p>
      <w:pPr>
        <w:ind w:firstLine="640" w:firstLineChars="200"/>
        <w:jc w:val="left"/>
        <w:rPr>
          <w:rFonts w:ascii="Times New Roman" w:hAnsi="Times New Roman" w:cs="Times New Roman"/>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955C"/>
    <w:multiLevelType w:val="singleLevel"/>
    <w:tmpl w:val="D0CE955C"/>
    <w:lvl w:ilvl="0" w:tentative="0">
      <w:start w:val="1"/>
      <w:numFmt w:val="decimal"/>
      <w:suff w:val="space"/>
      <w:lvlText w:val="%1."/>
      <w:lvlJc w:val="left"/>
    </w:lvl>
  </w:abstractNum>
  <w:abstractNum w:abstractNumId="1">
    <w:nsid w:val="28776CDB"/>
    <w:multiLevelType w:val="singleLevel"/>
    <w:tmpl w:val="28776CDB"/>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M2ZmNzg5MjQ4MTAyMmM2NjYxZDRkODMwMGFmYjUifQ=="/>
  </w:docVars>
  <w:rsids>
    <w:rsidRoot w:val="004506F9"/>
    <w:rsid w:val="000002C1"/>
    <w:rsid w:val="0002229B"/>
    <w:rsid w:val="0002513C"/>
    <w:rsid w:val="000273BD"/>
    <w:rsid w:val="000415B7"/>
    <w:rsid w:val="00041CB0"/>
    <w:rsid w:val="00041E3F"/>
    <w:rsid w:val="00052280"/>
    <w:rsid w:val="00055DAA"/>
    <w:rsid w:val="00061F7B"/>
    <w:rsid w:val="000658A3"/>
    <w:rsid w:val="0007098B"/>
    <w:rsid w:val="00074155"/>
    <w:rsid w:val="000A3F69"/>
    <w:rsid w:val="000C1C14"/>
    <w:rsid w:val="0010209F"/>
    <w:rsid w:val="00103957"/>
    <w:rsid w:val="00152C6D"/>
    <w:rsid w:val="00162D39"/>
    <w:rsid w:val="001678BD"/>
    <w:rsid w:val="001960EC"/>
    <w:rsid w:val="001A67DB"/>
    <w:rsid w:val="001C3C29"/>
    <w:rsid w:val="001D51E5"/>
    <w:rsid w:val="001E080D"/>
    <w:rsid w:val="001E53D0"/>
    <w:rsid w:val="001F0C3B"/>
    <w:rsid w:val="00200F33"/>
    <w:rsid w:val="00202C82"/>
    <w:rsid w:val="00205808"/>
    <w:rsid w:val="00214427"/>
    <w:rsid w:val="00225274"/>
    <w:rsid w:val="00226CB7"/>
    <w:rsid w:val="00237C10"/>
    <w:rsid w:val="002538B2"/>
    <w:rsid w:val="002575F4"/>
    <w:rsid w:val="00264552"/>
    <w:rsid w:val="00264A5A"/>
    <w:rsid w:val="00264EF9"/>
    <w:rsid w:val="00265724"/>
    <w:rsid w:val="0027426B"/>
    <w:rsid w:val="002B59F2"/>
    <w:rsid w:val="002E0A30"/>
    <w:rsid w:val="002E0E18"/>
    <w:rsid w:val="003130C4"/>
    <w:rsid w:val="00316C4B"/>
    <w:rsid w:val="0032192B"/>
    <w:rsid w:val="003479BD"/>
    <w:rsid w:val="0037197D"/>
    <w:rsid w:val="003768D5"/>
    <w:rsid w:val="00387B22"/>
    <w:rsid w:val="003C47E6"/>
    <w:rsid w:val="003C4FC2"/>
    <w:rsid w:val="00416E61"/>
    <w:rsid w:val="0042790C"/>
    <w:rsid w:val="004506F9"/>
    <w:rsid w:val="00453D7C"/>
    <w:rsid w:val="00467B5C"/>
    <w:rsid w:val="004717A2"/>
    <w:rsid w:val="00473DF3"/>
    <w:rsid w:val="0048082D"/>
    <w:rsid w:val="00487911"/>
    <w:rsid w:val="00491741"/>
    <w:rsid w:val="004C6E0C"/>
    <w:rsid w:val="005000CE"/>
    <w:rsid w:val="00500E5F"/>
    <w:rsid w:val="005122EF"/>
    <w:rsid w:val="0051441A"/>
    <w:rsid w:val="00517C33"/>
    <w:rsid w:val="00523644"/>
    <w:rsid w:val="0054069E"/>
    <w:rsid w:val="0054085E"/>
    <w:rsid w:val="00544866"/>
    <w:rsid w:val="00564F32"/>
    <w:rsid w:val="005767CC"/>
    <w:rsid w:val="00590D9F"/>
    <w:rsid w:val="00595D26"/>
    <w:rsid w:val="005A3F46"/>
    <w:rsid w:val="005A74E6"/>
    <w:rsid w:val="005B404E"/>
    <w:rsid w:val="005C4486"/>
    <w:rsid w:val="005C6130"/>
    <w:rsid w:val="005D4D55"/>
    <w:rsid w:val="005E2CFB"/>
    <w:rsid w:val="005F3D1C"/>
    <w:rsid w:val="0062378F"/>
    <w:rsid w:val="006402CD"/>
    <w:rsid w:val="00641842"/>
    <w:rsid w:val="0064351A"/>
    <w:rsid w:val="00651EEC"/>
    <w:rsid w:val="00686673"/>
    <w:rsid w:val="00687B5B"/>
    <w:rsid w:val="00691E8C"/>
    <w:rsid w:val="006A22C4"/>
    <w:rsid w:val="006A351B"/>
    <w:rsid w:val="006B0422"/>
    <w:rsid w:val="006C1B53"/>
    <w:rsid w:val="006D7730"/>
    <w:rsid w:val="006E5284"/>
    <w:rsid w:val="006F3EB5"/>
    <w:rsid w:val="00702E34"/>
    <w:rsid w:val="00704395"/>
    <w:rsid w:val="00717621"/>
    <w:rsid w:val="00720FF1"/>
    <w:rsid w:val="00727A53"/>
    <w:rsid w:val="00730911"/>
    <w:rsid w:val="00742515"/>
    <w:rsid w:val="0074374C"/>
    <w:rsid w:val="007703D2"/>
    <w:rsid w:val="00776C94"/>
    <w:rsid w:val="00781B85"/>
    <w:rsid w:val="007844A7"/>
    <w:rsid w:val="00787B42"/>
    <w:rsid w:val="007910D9"/>
    <w:rsid w:val="007C4539"/>
    <w:rsid w:val="007F06C0"/>
    <w:rsid w:val="007F3657"/>
    <w:rsid w:val="00812ED5"/>
    <w:rsid w:val="008277D9"/>
    <w:rsid w:val="00827FA1"/>
    <w:rsid w:val="0084478C"/>
    <w:rsid w:val="0086638C"/>
    <w:rsid w:val="008939BB"/>
    <w:rsid w:val="008A3E8D"/>
    <w:rsid w:val="008C570C"/>
    <w:rsid w:val="008D66EE"/>
    <w:rsid w:val="008F2096"/>
    <w:rsid w:val="009237C4"/>
    <w:rsid w:val="0093478B"/>
    <w:rsid w:val="00944C48"/>
    <w:rsid w:val="00947B78"/>
    <w:rsid w:val="00950252"/>
    <w:rsid w:val="00951C82"/>
    <w:rsid w:val="00967F5D"/>
    <w:rsid w:val="009A0F95"/>
    <w:rsid w:val="009B3ADF"/>
    <w:rsid w:val="009C3B52"/>
    <w:rsid w:val="009E6817"/>
    <w:rsid w:val="009E6E9A"/>
    <w:rsid w:val="00A01D2B"/>
    <w:rsid w:val="00A036F9"/>
    <w:rsid w:val="00A24D7D"/>
    <w:rsid w:val="00A42218"/>
    <w:rsid w:val="00A70249"/>
    <w:rsid w:val="00A70B02"/>
    <w:rsid w:val="00A71D9F"/>
    <w:rsid w:val="00A92E9F"/>
    <w:rsid w:val="00AB29DB"/>
    <w:rsid w:val="00AD6C4D"/>
    <w:rsid w:val="00B33BEA"/>
    <w:rsid w:val="00B50750"/>
    <w:rsid w:val="00B57C9F"/>
    <w:rsid w:val="00B63572"/>
    <w:rsid w:val="00B845B3"/>
    <w:rsid w:val="00B85D8B"/>
    <w:rsid w:val="00B90E97"/>
    <w:rsid w:val="00B91BFC"/>
    <w:rsid w:val="00BA532B"/>
    <w:rsid w:val="00BA7772"/>
    <w:rsid w:val="00BB1D8D"/>
    <w:rsid w:val="00BB4A40"/>
    <w:rsid w:val="00BB5D62"/>
    <w:rsid w:val="00BC5E25"/>
    <w:rsid w:val="00BD5D47"/>
    <w:rsid w:val="00BD6C3E"/>
    <w:rsid w:val="00BE3674"/>
    <w:rsid w:val="00C10681"/>
    <w:rsid w:val="00C3049A"/>
    <w:rsid w:val="00C31B1E"/>
    <w:rsid w:val="00C35745"/>
    <w:rsid w:val="00C52160"/>
    <w:rsid w:val="00C74A5E"/>
    <w:rsid w:val="00C77645"/>
    <w:rsid w:val="00CB2485"/>
    <w:rsid w:val="00CE04C3"/>
    <w:rsid w:val="00CE42B4"/>
    <w:rsid w:val="00CE76A0"/>
    <w:rsid w:val="00CF1FE5"/>
    <w:rsid w:val="00CF38AC"/>
    <w:rsid w:val="00D148C6"/>
    <w:rsid w:val="00D17A8A"/>
    <w:rsid w:val="00D415BA"/>
    <w:rsid w:val="00D644EE"/>
    <w:rsid w:val="00D865F2"/>
    <w:rsid w:val="00DD06FF"/>
    <w:rsid w:val="00DD2D57"/>
    <w:rsid w:val="00DD5FE9"/>
    <w:rsid w:val="00E00C7A"/>
    <w:rsid w:val="00E37D6C"/>
    <w:rsid w:val="00E53A40"/>
    <w:rsid w:val="00E54552"/>
    <w:rsid w:val="00E55B68"/>
    <w:rsid w:val="00E67BE6"/>
    <w:rsid w:val="00E71C48"/>
    <w:rsid w:val="00E733F8"/>
    <w:rsid w:val="00E8683C"/>
    <w:rsid w:val="00E87C15"/>
    <w:rsid w:val="00EA2B72"/>
    <w:rsid w:val="00EC27A7"/>
    <w:rsid w:val="00EC5CB5"/>
    <w:rsid w:val="00ED6ACE"/>
    <w:rsid w:val="00F24843"/>
    <w:rsid w:val="00F33A75"/>
    <w:rsid w:val="00F73458"/>
    <w:rsid w:val="00F74360"/>
    <w:rsid w:val="00FB462F"/>
    <w:rsid w:val="00FE16FA"/>
    <w:rsid w:val="00FE328A"/>
    <w:rsid w:val="00FE6269"/>
    <w:rsid w:val="00FF5CD6"/>
    <w:rsid w:val="00FF611C"/>
    <w:rsid w:val="02683066"/>
    <w:rsid w:val="07896B6E"/>
    <w:rsid w:val="11CA3A28"/>
    <w:rsid w:val="1527565B"/>
    <w:rsid w:val="1657500D"/>
    <w:rsid w:val="21A27D6D"/>
    <w:rsid w:val="260E6C7D"/>
    <w:rsid w:val="29820308"/>
    <w:rsid w:val="2AAE5CC2"/>
    <w:rsid w:val="2D971492"/>
    <w:rsid w:val="378D2EAF"/>
    <w:rsid w:val="38ED5747"/>
    <w:rsid w:val="39F70183"/>
    <w:rsid w:val="3D4F04D1"/>
    <w:rsid w:val="43320246"/>
    <w:rsid w:val="48743761"/>
    <w:rsid w:val="49056DA6"/>
    <w:rsid w:val="495F18CA"/>
    <w:rsid w:val="5DC236DA"/>
    <w:rsid w:val="63DD2525"/>
    <w:rsid w:val="67D2107D"/>
    <w:rsid w:val="6A9755AB"/>
    <w:rsid w:val="6AA140B6"/>
    <w:rsid w:val="74A91369"/>
    <w:rsid w:val="7A732DD3"/>
    <w:rsid w:val="7F91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日期 字符"/>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BCF5-FEC4-41E5-BFE0-658B6A9E4C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15456</Words>
  <Characters>18216</Characters>
  <Lines>181</Lines>
  <Paragraphs>51</Paragraphs>
  <TotalTime>9</TotalTime>
  <ScaleCrop>false</ScaleCrop>
  <LinksUpToDate>false</LinksUpToDate>
  <CharactersWithSpaces>20027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神无月魂</cp:lastModifiedBy>
  <cp:lastPrinted>2021-08-19T04:17:00Z</cp:lastPrinted>
  <dcterms:modified xsi:type="dcterms:W3CDTF">2022-09-07T03:43:08Z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9571BB11141B4708B9CD35DDBC2AB89E</vt:lpwstr>
  </property>
</Properties>
</file>