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5EA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/>
        <w:jc w:val="center"/>
        <w:textAlignment w:val="baseline"/>
        <w:outlineLvl w:val="0"/>
        <w:rPr>
          <w:rFonts w:hint="default" w:ascii="Times New Roman" w:hAnsi="Times New Roman" w:eastAsia="方正小标宋_GBK" w:cs="Times New Roman"/>
          <w:b w:val="0"/>
          <w:bCs w:val="0"/>
          <w:spacing w:val="8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8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8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pacing w:val="8"/>
          <w:sz w:val="44"/>
          <w:szCs w:val="44"/>
        </w:rPr>
        <w:t>年湖南省广播电视局常德中波转播台</w:t>
      </w:r>
    </w:p>
    <w:p w14:paraId="769423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/>
        <w:jc w:val="center"/>
        <w:textAlignment w:val="baseline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1"/>
          <w:sz w:val="44"/>
          <w:szCs w:val="44"/>
        </w:rPr>
        <w:t>单位预算</w:t>
      </w:r>
    </w:p>
    <w:p w14:paraId="55ECB056">
      <w:pPr>
        <w:spacing w:before="101" w:line="222" w:lineRule="auto"/>
        <w:ind w:left="3797"/>
        <w:rPr>
          <w:rFonts w:ascii="黑体" w:hAnsi="黑体" w:eastAsia="黑体" w:cs="黑体"/>
          <w:b w:val="0"/>
          <w:bCs w:val="0"/>
          <w:spacing w:val="-29"/>
          <w:sz w:val="32"/>
          <w:szCs w:val="32"/>
        </w:rPr>
      </w:pPr>
    </w:p>
    <w:p w14:paraId="5B904005">
      <w:pPr>
        <w:spacing w:before="101" w:line="222" w:lineRule="auto"/>
        <w:ind w:left="3797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29"/>
          <w:sz w:val="32"/>
          <w:szCs w:val="32"/>
        </w:rPr>
        <w:t>目</w:t>
      </w:r>
      <w:r>
        <w:rPr>
          <w:rFonts w:ascii="黑体" w:hAnsi="黑体" w:eastAsia="黑体" w:cs="黑体"/>
          <w:b w:val="0"/>
          <w:bCs w:val="0"/>
          <w:spacing w:val="57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29"/>
          <w:sz w:val="32"/>
          <w:szCs w:val="32"/>
        </w:rPr>
        <w:t>录</w:t>
      </w:r>
    </w:p>
    <w:p w14:paraId="108954AF">
      <w:pPr>
        <w:pStyle w:val="3"/>
        <w:spacing w:before="101" w:line="221" w:lineRule="auto"/>
        <w:ind w:left="627"/>
        <w:rPr>
          <w:b/>
          <w:bCs/>
          <w:spacing w:val="18"/>
        </w:rPr>
      </w:pPr>
    </w:p>
    <w:p w14:paraId="472C7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snapToGrid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 xml:space="preserve">第一部分 </w:t>
      </w: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napToGrid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snapToGrid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单位预算说明</w:t>
      </w:r>
    </w:p>
    <w:p w14:paraId="6901C9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第二部分</w:t>
      </w: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单位预算表</w:t>
      </w:r>
    </w:p>
    <w:p w14:paraId="767BD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1、收支总表</w:t>
      </w:r>
    </w:p>
    <w:p w14:paraId="62ED42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2、收入总表</w:t>
      </w:r>
    </w:p>
    <w:p w14:paraId="44C5B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3、支出总表</w:t>
      </w:r>
    </w:p>
    <w:p w14:paraId="5037A4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4、支出预算分类汇总表（按政府预算经济分类）</w:t>
      </w:r>
    </w:p>
    <w:p w14:paraId="3967D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5、支出预算分类汇总表（按部门预算经济分类）</w:t>
      </w:r>
    </w:p>
    <w:p w14:paraId="7187F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6、财政拨款收支总表</w:t>
      </w:r>
    </w:p>
    <w:p w14:paraId="3D075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7、一般公共预算支出表</w:t>
      </w:r>
    </w:p>
    <w:p w14:paraId="58E7D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8、一般公共预算基本支出表-人员经费（工资福利支出）（按政府预算经济分类）</w:t>
      </w:r>
    </w:p>
    <w:p w14:paraId="75213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9、一般公共预算基本支出表-人员经费（工资福利支出）（按部门预算经济分类）</w:t>
      </w:r>
    </w:p>
    <w:p w14:paraId="5DA613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10、一般公共预算基本支出表-人员经费（对个人和家庭的补助）（按政府预算经济分类）</w:t>
      </w:r>
    </w:p>
    <w:p w14:paraId="23DC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11、一般公共预算基本支出表-人员经费（对个人和家庭的补助）（按部门预算经济分类）</w:t>
      </w:r>
    </w:p>
    <w:p w14:paraId="2D33E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12、一般公共预算基本支出表-公用经费（商品和服务支出）（按政府预算经济分类）</w:t>
      </w:r>
    </w:p>
    <w:p w14:paraId="050ADB77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13、一般公共预算基本支出表-公用经费（商品和服务支出）（按部门预算经济分类）</w:t>
      </w:r>
    </w:p>
    <w:p w14:paraId="1535A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14、一般公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共预算“三公”经费支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出表</w:t>
      </w:r>
    </w:p>
    <w:p w14:paraId="3EBCF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15、政府性基金预算支出表</w:t>
      </w:r>
    </w:p>
    <w:p w14:paraId="3C679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eastAsia="zh-CN"/>
        </w:rPr>
        <w:t>16、政府性基金预算支出分类汇总表（按政府预算经济分类）</w:t>
      </w:r>
    </w:p>
    <w:p w14:paraId="3D38F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eastAsia="zh-CN"/>
        </w:rPr>
        <w:t>17、政府性基金预算支出分类汇总表（按部门预算经济分类）</w:t>
      </w:r>
    </w:p>
    <w:p w14:paraId="33478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18、国有资本经营预算支出表</w:t>
      </w:r>
    </w:p>
    <w:p w14:paraId="09367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19、财政专户管理资金预算支出表</w:t>
      </w:r>
    </w:p>
    <w:p w14:paraId="73E86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20、省级专项资金预算汇总表</w:t>
      </w:r>
    </w:p>
    <w:p w14:paraId="0B47D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21、省级专项资金绩效目标表</w:t>
      </w:r>
    </w:p>
    <w:p w14:paraId="579F7E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22、其他项目支出绩效目标表</w:t>
      </w:r>
    </w:p>
    <w:p w14:paraId="4CEC7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23、部门整体支出绩效目标表</w:t>
      </w:r>
    </w:p>
    <w:p w14:paraId="6D251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注：</w:t>
      </w:r>
    </w:p>
    <w:p w14:paraId="03A85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以上</w:t>
      </w:r>
      <w:r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预算报表中，如本</w:t>
      </w:r>
      <w:r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无相关情况，也需公开空表</w:t>
      </w:r>
      <w:r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，不得随意删减或仅在单位预算说明中以文字表述</w:t>
      </w:r>
      <w:r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。</w:t>
      </w:r>
    </w:p>
    <w:p w14:paraId="7BE71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val="en-US" w:eastAsia="zh-CN"/>
        </w:rPr>
        <w:t>2、按照财政部要求，公开预算必须编制目录，不得以预算管理一体化系统中导出公开表格的目录代替公开目录。</w:t>
      </w:r>
    </w:p>
    <w:p w14:paraId="7C39C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val="en-US" w:eastAsia="zh-CN"/>
        </w:rPr>
        <w:t>3、除上年结转编入部门预算外，如当年有编列项目支出预算，则“22、其他项目支出绩效目标表”不得为空，或仅填列金额而无具体绩效指标说明。</w:t>
      </w:r>
    </w:p>
    <w:p w14:paraId="633A5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val="en-US" w:eastAsia="zh-CN"/>
        </w:rPr>
      </w:pPr>
    </w:p>
    <w:p w14:paraId="370DBC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val="en-US" w:eastAsia="zh-CN"/>
        </w:rPr>
      </w:pPr>
    </w:p>
    <w:p w14:paraId="1327A5D1"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 xml:space="preserve">第一部分 </w:t>
      </w:r>
      <w:r>
        <w:rPr>
          <w:rFonts w:hint="eastAsia" w:ascii="Times New Roman" w:hAnsi="Times New Roman" w:eastAsia="方正小标宋_GBK" w:cs="Times New Roman"/>
          <w:bCs/>
          <w:snapToGrid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snapToGrid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>单位预算说明</w:t>
      </w:r>
    </w:p>
    <w:p w14:paraId="75B9AB23">
      <w:pPr>
        <w:spacing w:line="352" w:lineRule="auto"/>
        <w:rPr>
          <w:rFonts w:ascii="Arial"/>
          <w:sz w:val="21"/>
        </w:rPr>
      </w:pPr>
    </w:p>
    <w:p w14:paraId="0F14F857">
      <w:pPr>
        <w:spacing w:line="352" w:lineRule="auto"/>
        <w:rPr>
          <w:rFonts w:ascii="Arial"/>
          <w:sz w:val="21"/>
        </w:rPr>
      </w:pPr>
    </w:p>
    <w:p w14:paraId="1FC22C2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56" w:firstLineChars="200"/>
        <w:jc w:val="both"/>
        <w:textAlignment w:val="auto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一、单位基本概况</w:t>
      </w:r>
    </w:p>
    <w:p w14:paraId="6CE906E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711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</w:rPr>
        <w:t>职能职责。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湖南省广播电视局常德中波转播台主要职能是转播广播电视节目，促进社会经济文化发展；转播广播电台节目及广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播电视信号，监听、检测，实验任务。</w:t>
      </w:r>
    </w:p>
    <w:p w14:paraId="1DA116E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711" w:firstLineChars="200"/>
        <w:jc w:val="both"/>
        <w:textAlignment w:val="auto"/>
        <w:outlineLvl w:val="2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17"/>
          <w:sz w:val="32"/>
          <w:szCs w:val="32"/>
        </w:rPr>
        <w:t>机构设置。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湖南省广播电视局常德中波转播台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属独立核算机构，核定全额拨款事业编制32人，实有在职人员2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人，退休人员2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人，内设办公室、技术部、播出部3个科室。</w:t>
      </w:r>
    </w:p>
    <w:p w14:paraId="3DA597B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56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</w:rPr>
        <w:t>二、预算单位构成</w:t>
      </w:r>
    </w:p>
    <w:p w14:paraId="7DC7B2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湖南省广播电视局常德中波转播台无下属预算单位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 w14:paraId="0D92D84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三、单位收支总体情况</w:t>
      </w:r>
    </w:p>
    <w:p w14:paraId="5B4DB6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87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pacing w:val="14"/>
          <w:sz w:val="32"/>
          <w:szCs w:val="32"/>
          <w:highlight w:val="red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</w:rPr>
        <w:t>收入预算：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包括一般公共预算、政府性基金、国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有资本经营预算等财政拨款收入，以及经营收入、事业收入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等单位资金。202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年本单位收入预算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690.52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万元，其中，一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般公共预算拨款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687.45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万元；政府性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基金预算拨款0万元，</w:t>
      </w:r>
      <w:r>
        <w:rPr>
          <w:rFonts w:hint="default" w:ascii="Times New Roman" w:hAnsi="Times New Roman" w:eastAsia="仿宋_GB2312" w:cs="Times New Roman"/>
          <w:spacing w:val="27"/>
          <w:sz w:val="32"/>
          <w:szCs w:val="32"/>
        </w:rPr>
        <w:t>国有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27"/>
          <w:sz w:val="32"/>
          <w:szCs w:val="32"/>
        </w:rPr>
        <w:t>资本经营预算拨款0万元，纳入专户管理的非税收入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0万元，上年结转结余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  <w:lang w:val="en-US" w:eastAsia="zh-CN"/>
        </w:rPr>
        <w:t>3.07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b/>
          <w:bCs/>
          <w:spacing w:val="19"/>
          <w:sz w:val="32"/>
          <w:szCs w:val="32"/>
        </w:rPr>
        <w:t>收入较</w:t>
      </w:r>
      <w:r>
        <w:rPr>
          <w:rFonts w:hint="default" w:ascii="Times New Roman" w:hAnsi="Times New Roman" w:eastAsia="仿宋_GB2312" w:cs="Times New Roman"/>
          <w:b/>
          <w:bCs/>
          <w:spacing w:val="18"/>
          <w:sz w:val="32"/>
          <w:szCs w:val="32"/>
        </w:rPr>
        <w:t>去年减少</w:t>
      </w:r>
      <w:r>
        <w:rPr>
          <w:rFonts w:hint="eastAsia" w:ascii="Times New Roman" w:hAnsi="Times New Roman" w:eastAsia="仿宋_GB2312" w:cs="Times New Roman"/>
          <w:b/>
          <w:bCs/>
          <w:spacing w:val="18"/>
          <w:sz w:val="32"/>
          <w:szCs w:val="32"/>
          <w:lang w:val="en-US" w:eastAsia="zh-CN"/>
        </w:rPr>
        <w:t>24.34</w:t>
      </w:r>
      <w:r>
        <w:rPr>
          <w:rFonts w:hint="default" w:ascii="Times New Roman" w:hAnsi="Times New Roman" w:eastAsia="仿宋_GB2312" w:cs="Times New Roman"/>
          <w:b/>
          <w:bCs/>
          <w:spacing w:val="18"/>
          <w:sz w:val="32"/>
          <w:szCs w:val="32"/>
        </w:rPr>
        <w:t>万</w:t>
      </w:r>
      <w:r>
        <w:rPr>
          <w:rFonts w:hint="default" w:ascii="Times New Roman" w:hAnsi="Times New Roman" w:eastAsia="仿宋_GB2312" w:cs="Times New Roman"/>
          <w:b/>
          <w:bCs/>
          <w:spacing w:val="14"/>
          <w:sz w:val="32"/>
          <w:szCs w:val="32"/>
        </w:rPr>
        <w:t>元，</w:t>
      </w:r>
      <w:r>
        <w:rPr>
          <w:rFonts w:hint="default" w:ascii="Times New Roman" w:hAnsi="Times New Roman" w:eastAsia="仿宋_GB2312" w:cs="Times New Roman"/>
          <w:b/>
          <w:bCs/>
          <w:spacing w:val="14"/>
          <w:sz w:val="32"/>
          <w:szCs w:val="32"/>
          <w:highlight w:val="none"/>
        </w:rPr>
        <w:t>主要是</w:t>
      </w:r>
      <w:r>
        <w:rPr>
          <w:rFonts w:hint="eastAsia" w:ascii="Times New Roman" w:hAnsi="Times New Roman" w:eastAsia="仿宋_GB2312" w:cs="Times New Roman"/>
          <w:b/>
          <w:bCs/>
          <w:spacing w:val="14"/>
          <w:sz w:val="32"/>
          <w:szCs w:val="32"/>
          <w:highlight w:val="none"/>
          <w:lang w:val="en-US" w:eastAsia="zh-CN"/>
        </w:rPr>
        <w:t>节约财政资金，压减非必要项目支出，减少项目经费45.99万元、公用经费0.54万元；年底绩效预算增加，人员经费增加22.19万元。</w:t>
      </w:r>
    </w:p>
    <w:p w14:paraId="3F6233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79" w:firstLineChars="200"/>
        <w:jc w:val="both"/>
        <w:textAlignment w:val="auto"/>
      </w:pPr>
      <w:r>
        <w:rPr>
          <w:rFonts w:hint="eastAsia" w:ascii="楷体_GB2312" w:hAnsi="楷体_GB2312" w:eastAsia="楷体_GB2312" w:cs="楷体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9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9"/>
          <w:sz w:val="32"/>
          <w:szCs w:val="32"/>
        </w:rPr>
        <w:t>支出预算：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年本单位支出预算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690.52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其中，教育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支出0.88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万元，文化旅游体育与传媒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支出515.81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万元，社会保障和就业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支出99.38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万元，卫生健康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37.45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万元，住房保障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spacing w:val="10"/>
          <w:sz w:val="32"/>
          <w:szCs w:val="32"/>
          <w:lang w:val="en-US" w:eastAsia="zh-CN"/>
        </w:rPr>
        <w:t>37.00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b/>
          <w:bCs/>
          <w:spacing w:val="10"/>
          <w:sz w:val="32"/>
          <w:szCs w:val="32"/>
        </w:rPr>
        <w:t>支出较去年减少</w:t>
      </w:r>
      <w:r>
        <w:rPr>
          <w:rFonts w:hint="eastAsia" w:ascii="Times New Roman" w:hAnsi="Times New Roman" w:eastAsia="仿宋_GB2312" w:cs="Times New Roman"/>
          <w:b/>
          <w:bCs/>
          <w:spacing w:val="10"/>
          <w:sz w:val="32"/>
          <w:szCs w:val="32"/>
          <w:lang w:val="en-US" w:eastAsia="zh-CN"/>
        </w:rPr>
        <w:t>24.34</w:t>
      </w:r>
      <w:r>
        <w:rPr>
          <w:rFonts w:hint="default" w:ascii="Times New Roman" w:hAnsi="Times New Roman" w:eastAsia="仿宋_GB2312" w:cs="Times New Roman"/>
          <w:b/>
          <w:bCs/>
          <w:spacing w:val="1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b/>
          <w:bCs/>
          <w:spacing w:val="14"/>
          <w:sz w:val="32"/>
          <w:szCs w:val="32"/>
          <w:highlight w:val="none"/>
        </w:rPr>
        <w:t>主要是</w:t>
      </w:r>
      <w:r>
        <w:rPr>
          <w:rFonts w:hint="eastAsia" w:ascii="Times New Roman" w:hAnsi="Times New Roman" w:eastAsia="仿宋_GB2312" w:cs="Times New Roman"/>
          <w:b/>
          <w:bCs/>
          <w:spacing w:val="14"/>
          <w:sz w:val="32"/>
          <w:szCs w:val="32"/>
          <w:highlight w:val="none"/>
          <w:lang w:val="en-US" w:eastAsia="zh-CN"/>
        </w:rPr>
        <w:t>节约财政资金，压减非必要项目支出，减少项目经费45.99万元、公用经费0.54万元；年底绩效预算增加，人员经费增加22.19万元。</w:t>
      </w:r>
    </w:p>
    <w:p w14:paraId="0CA9199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四、一般公共预算拨款支出</w:t>
      </w:r>
    </w:p>
    <w:p w14:paraId="1273F6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7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年本单位一般公共预算拨款支出预算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690.52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万元，其中，教育支出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0.88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0.13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文化旅游体育与传媒支出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515.81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74.70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社会保障和就业支出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99.38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14.39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卫生健康支出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37.45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5.42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住房保障支出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37.00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5.36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%。具体安排情况如下：</w:t>
      </w:r>
    </w:p>
    <w:p w14:paraId="5E5535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71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7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7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7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7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7"/>
          <w:sz w:val="32"/>
          <w:szCs w:val="32"/>
        </w:rPr>
        <w:t>基本支出：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年本单位基本支出预算数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588.53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万元，主要是为保障单位机构正常运转、完成日常工作任务而发生的各项支出，包括用于基本工资、津贴补贴等人员经费以及办公费、印刷费、水电费、办公设备购置等公用经费。</w:t>
      </w:r>
    </w:p>
    <w:p w14:paraId="7B5636A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right="0" w:rightChars="0" w:firstLine="687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7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</w:rPr>
        <w:t>项目支出：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年本单位项目支出预算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101.99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万元，主要是部门为完成特定行政工作任务或事业发展目标而发生的支出，包括有关事业发展专项、专项业务费、基本建设支出等，其中：其他事业发展资金支出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43.79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万元，主要用于办公设备购置、台站管理专项、台站运维管理专项等方面；运行维护经费支出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58.20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万元，主要用于播出运维专项，安全播出维修维护、电费等方面。</w:t>
      </w:r>
    </w:p>
    <w:p w14:paraId="1DF9D4C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firstLine="644" w:firstLineChars="200"/>
        <w:jc w:val="both"/>
        <w:textAlignment w:val="auto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"/>
          <w:sz w:val="32"/>
          <w:szCs w:val="32"/>
        </w:rPr>
        <w:t>五、政府性基金预算支出</w:t>
      </w:r>
    </w:p>
    <w:p w14:paraId="63441E2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无政府性基金安排的支出。</w:t>
      </w:r>
    </w:p>
    <w:p w14:paraId="5BF6807A">
      <w:pPr>
        <w:spacing w:before="62" w:line="221" w:lineRule="auto"/>
        <w:ind w:left="667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3"/>
          <w:sz w:val="32"/>
          <w:szCs w:val="32"/>
        </w:rPr>
        <w:t>六、其他重要事项的情况说明</w:t>
      </w:r>
    </w:p>
    <w:p w14:paraId="463D21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87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7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</w:rPr>
        <w:t>运行经费：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年本单位运行经费66.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万元，比上年预算减少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0.54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万元，下降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0.81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主要是本着过紧日子的原则，积极响应国家政策厉行节约，缩减日常公用经费支出。</w:t>
      </w:r>
    </w:p>
    <w:p w14:paraId="30062F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1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1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10"/>
          <w:sz w:val="32"/>
          <w:szCs w:val="32"/>
        </w:rPr>
        <w:t>“三公”经费预算：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2026本单位“三公”经费预算数为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4万元，其中，公务接待费1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万元，公务用车购置及运行费3万元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其中，公务用车购置费0万元，公务用车运行费3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因公出国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境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费0万元。202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年“三公”经费预算较上年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持平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，主要是响应中央八项规定，严格控制“三公”经费开支。</w:t>
      </w:r>
    </w:p>
    <w:p w14:paraId="34E106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83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1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1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pacing w:val="10"/>
          <w:sz w:val="32"/>
          <w:szCs w:val="32"/>
          <w:lang w:eastAsia="zh-CN"/>
        </w:rPr>
        <w:t>）一般性支出情况：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2026年本单位会议费预算0万元，拟召开0次会议，人数0人；培训费预算0.88万元，拟开展事业单位工作人员培训，人数25人，内容为事业单位工作人员公共科目及专业科目网上培训；拟举办0次节庆、晚会、论坛、赛事活动，经费预算0万元。</w:t>
      </w:r>
    </w:p>
    <w:p w14:paraId="7C4C8936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94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1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pacing w:val="18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pacing w:val="18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pacing w:val="18"/>
          <w:lang w:val="en-US" w:eastAsia="zh-CN"/>
        </w:rPr>
        <w:t>委托业务费情况：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2026年本单位本级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家行政事业单位的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委托业务费0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万元，比上年预算持平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0CB67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83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1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1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pacing w:val="10"/>
          <w:sz w:val="32"/>
          <w:szCs w:val="32"/>
          <w:lang w:eastAsia="zh-CN"/>
        </w:rPr>
        <w:t>）政府采购情况：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2026年本单位政府采购预算总额41.55万元，其中，货物类采购预算5.50万元；工程类采购预算0万元；服务类采购预算36.05万元。</w:t>
      </w:r>
    </w:p>
    <w:p w14:paraId="2E675D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10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pacing w:val="10"/>
          <w:sz w:val="32"/>
          <w:szCs w:val="32"/>
          <w:lang w:eastAsia="zh-CN"/>
        </w:rPr>
        <w:t>）国有资产占用使用及新增资产配置情况：</w:t>
      </w:r>
      <w:r>
        <w:rPr>
          <w:rFonts w:hint="default" w:ascii="Times New Roman" w:hAnsi="Times New Roman" w:eastAsia="仿宋_GB2312" w:cs="Times New Roman"/>
          <w:b w:val="0"/>
          <w:bCs w:val="0"/>
          <w:spacing w:val="10"/>
          <w:sz w:val="32"/>
          <w:szCs w:val="32"/>
          <w:lang w:val="en-US" w:eastAsia="zh-CN"/>
        </w:rPr>
        <w:t>截至2025年12月底，本单位共有公务用车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lang w:val="en-US" w:eastAsia="zh-CN"/>
        </w:rPr>
        <w:t>1辆，其中，</w:t>
      </w:r>
      <w:r>
        <w:rPr>
          <w:rFonts w:hint="eastAsia" w:ascii="Times New Roman" w:hAnsi="Times New Roman" w:eastAsia="仿宋_GB2312" w:cs="Times New Roman"/>
          <w:b w:val="0"/>
          <w:bCs w:val="0"/>
          <w:spacing w:val="7"/>
          <w:sz w:val="32"/>
          <w:szCs w:val="32"/>
          <w:lang w:val="en-US" w:eastAsia="zh-CN"/>
        </w:rPr>
        <w:t>机要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通信用车0辆，应急保障用车0辆，执法执勤用车0辆，特种专业技术用车1辆，其他按照规定配备的公务用车0辆；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单位价值50万元以上通用设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3台，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单位价值100万元以上专用设备1台。2026年拟新增配置公务用车0辆，其中，机要通信用车0辆，应急保障用车0辆，执法执勤用车0辆，特种专业技术用车0辆，其他按照规定配备的公务用车0辆；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新增配备单位价值50万元以上通用设备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台，单位价值100万元以上专用设备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台。</w:t>
      </w:r>
    </w:p>
    <w:p w14:paraId="10DCBE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83" w:firstLineChars="200"/>
        <w:jc w:val="both"/>
        <w:textAlignment w:val="auto"/>
        <w:rPr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（七）预算绩效目标说明：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本单位所有支出实行绩效目标管理。纳入202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年单位整体支出绩效目标的金额为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687.45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万元，其中，基本支出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588.53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万元，项目支出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98.92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万元，具体绩效目标详见报表。</w:t>
      </w:r>
    </w:p>
    <w:p w14:paraId="757877F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firstLine="696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</w:rPr>
        <w:t>七、名词解释</w:t>
      </w:r>
    </w:p>
    <w:p w14:paraId="101E11A3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1、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52699BF7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2、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“三公”经费：纳入省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市/县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财政预算管理的“三公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经费，是指用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一般公共预算拨款安排的公务接待费、公务用车购置及运行维护费和因公出国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境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费。其中，公务接待费反映单位按规定开支的各类公务接待支出；公务用车购置及运行费反映单位公务用车车辆购置支出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含车辆购置税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），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以及燃料费、维修费、保险费等支出；因公出国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境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费反映单位公务出国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境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的国际旅费、国外城市间交通费、住宿费、伙食费、培训费、公杂费等等支出。</w:t>
      </w:r>
    </w:p>
    <w:p w14:paraId="70FE62A4">
      <w:pPr>
        <w:spacing w:line="351" w:lineRule="auto"/>
        <w:rPr>
          <w:sz w:val="30"/>
          <w:szCs w:val="30"/>
        </w:rPr>
        <w:sectPr>
          <w:footerReference r:id="rId5" w:type="default"/>
          <w:pgSz w:w="11910" w:h="16840"/>
          <w:pgMar w:top="1417" w:right="1587" w:bottom="1417" w:left="1587" w:header="850" w:footer="992" w:gutter="0"/>
          <w:pgNumType w:fmt="decimal"/>
          <w:cols w:space="0" w:num="1"/>
          <w:rtlGutter w:val="0"/>
          <w:docGrid w:linePitch="0" w:charSpace="0"/>
        </w:sectPr>
      </w:pPr>
    </w:p>
    <w:p w14:paraId="27A48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>第</w:t>
      </w:r>
      <w:r>
        <w:rPr>
          <w:rFonts w:hint="eastAsia" w:ascii="Times New Roman" w:hAnsi="Times New Roman" w:eastAsia="方正小标宋_GBK" w:cs="Times New Roman"/>
          <w:bCs/>
          <w:snapToGrid/>
          <w:kern w:val="0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>部分</w:t>
      </w:r>
      <w:r>
        <w:rPr>
          <w:rFonts w:hint="eastAsia" w:ascii="Times New Roman" w:hAnsi="Times New Roman" w:eastAsia="方正小标宋_GBK" w:cs="Times New Roman"/>
          <w:bCs/>
          <w:snapToGrid/>
          <w:kern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snapToGrid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>年单位预算表</w:t>
      </w:r>
    </w:p>
    <w:sectPr>
      <w:pgSz w:w="11910" w:h="16840"/>
      <w:pgMar w:top="1417" w:right="1587" w:bottom="1417" w:left="1587" w:header="850" w:footer="992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CE86821-AE31-41AB-9C84-8D071977CD6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BF5AE0-295E-4302-BE1D-2B10A26E2D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300E04-B176-461A-8C70-7A24D2C0DB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8434DCB-24BD-4EB4-9688-1E072AB19F9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05C2DC5-A81C-4B17-8FEE-1B3087B061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A6C24EB-38BD-421A-AE77-B292A9A5C8EE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EEA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F8207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AF8207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559F5"/>
    <w:rsid w:val="0078143C"/>
    <w:rsid w:val="015C2B0C"/>
    <w:rsid w:val="023A109F"/>
    <w:rsid w:val="025739FF"/>
    <w:rsid w:val="037D56E7"/>
    <w:rsid w:val="04C9495C"/>
    <w:rsid w:val="05157BA2"/>
    <w:rsid w:val="067641DC"/>
    <w:rsid w:val="06FC6923"/>
    <w:rsid w:val="071D0A1D"/>
    <w:rsid w:val="08002443"/>
    <w:rsid w:val="08297BEC"/>
    <w:rsid w:val="0870581B"/>
    <w:rsid w:val="08F17FDE"/>
    <w:rsid w:val="09C556F2"/>
    <w:rsid w:val="0A0B50CF"/>
    <w:rsid w:val="0A5F5B47"/>
    <w:rsid w:val="0B334F83"/>
    <w:rsid w:val="0BF57DE5"/>
    <w:rsid w:val="0E666D78"/>
    <w:rsid w:val="0ECF2B6F"/>
    <w:rsid w:val="0F277D2D"/>
    <w:rsid w:val="0F4C0664"/>
    <w:rsid w:val="0F851480"/>
    <w:rsid w:val="10613C9B"/>
    <w:rsid w:val="10853E2D"/>
    <w:rsid w:val="10D40911"/>
    <w:rsid w:val="112D7888"/>
    <w:rsid w:val="11CB1D14"/>
    <w:rsid w:val="120B2110"/>
    <w:rsid w:val="12E56E05"/>
    <w:rsid w:val="133438E9"/>
    <w:rsid w:val="13E1581F"/>
    <w:rsid w:val="16A90EC9"/>
    <w:rsid w:val="16F75359"/>
    <w:rsid w:val="17397720"/>
    <w:rsid w:val="18345F44"/>
    <w:rsid w:val="183F3E3F"/>
    <w:rsid w:val="18506ACF"/>
    <w:rsid w:val="18E67433"/>
    <w:rsid w:val="19214933"/>
    <w:rsid w:val="196565AA"/>
    <w:rsid w:val="1B5C578B"/>
    <w:rsid w:val="1BA535D6"/>
    <w:rsid w:val="1D666D95"/>
    <w:rsid w:val="1DF3687A"/>
    <w:rsid w:val="1E0E6FDF"/>
    <w:rsid w:val="1E5866DD"/>
    <w:rsid w:val="1EC51899"/>
    <w:rsid w:val="1F1620F4"/>
    <w:rsid w:val="1F1D3483"/>
    <w:rsid w:val="1F70574E"/>
    <w:rsid w:val="1F911969"/>
    <w:rsid w:val="20564CF0"/>
    <w:rsid w:val="20F16687"/>
    <w:rsid w:val="20F36B91"/>
    <w:rsid w:val="214D44F3"/>
    <w:rsid w:val="216D3574"/>
    <w:rsid w:val="21F66F4C"/>
    <w:rsid w:val="22AC349C"/>
    <w:rsid w:val="230E380E"/>
    <w:rsid w:val="23103A2A"/>
    <w:rsid w:val="23273C50"/>
    <w:rsid w:val="23887A65"/>
    <w:rsid w:val="239A7798"/>
    <w:rsid w:val="23F0560A"/>
    <w:rsid w:val="25CB62F9"/>
    <w:rsid w:val="272E0923"/>
    <w:rsid w:val="283A6E54"/>
    <w:rsid w:val="289A78F2"/>
    <w:rsid w:val="28C57065"/>
    <w:rsid w:val="291E6775"/>
    <w:rsid w:val="294855A0"/>
    <w:rsid w:val="2959155B"/>
    <w:rsid w:val="29622B06"/>
    <w:rsid w:val="2A1831C5"/>
    <w:rsid w:val="2A8E0D98"/>
    <w:rsid w:val="2A9C3DF6"/>
    <w:rsid w:val="2AC11AAE"/>
    <w:rsid w:val="2BB62C95"/>
    <w:rsid w:val="2D426ED6"/>
    <w:rsid w:val="2D960FD0"/>
    <w:rsid w:val="2DD1025A"/>
    <w:rsid w:val="2DDD09AD"/>
    <w:rsid w:val="2EA8720D"/>
    <w:rsid w:val="2F6F7D2B"/>
    <w:rsid w:val="2FCD4A51"/>
    <w:rsid w:val="30894E1C"/>
    <w:rsid w:val="312342C6"/>
    <w:rsid w:val="3139239E"/>
    <w:rsid w:val="314A45AB"/>
    <w:rsid w:val="316B2774"/>
    <w:rsid w:val="316B4522"/>
    <w:rsid w:val="31AD0696"/>
    <w:rsid w:val="324C4353"/>
    <w:rsid w:val="32650F71"/>
    <w:rsid w:val="329D070B"/>
    <w:rsid w:val="32CE6B16"/>
    <w:rsid w:val="343E47A2"/>
    <w:rsid w:val="34D523DE"/>
    <w:rsid w:val="34FD7B87"/>
    <w:rsid w:val="356814A4"/>
    <w:rsid w:val="367F4CF7"/>
    <w:rsid w:val="36CA3A99"/>
    <w:rsid w:val="36DC6F0E"/>
    <w:rsid w:val="38E452E6"/>
    <w:rsid w:val="3A6F0BDF"/>
    <w:rsid w:val="3A8A5A19"/>
    <w:rsid w:val="3B762441"/>
    <w:rsid w:val="3BA96372"/>
    <w:rsid w:val="3BBC42F8"/>
    <w:rsid w:val="3BD3519D"/>
    <w:rsid w:val="3D356511"/>
    <w:rsid w:val="3D532A3A"/>
    <w:rsid w:val="3D734E8A"/>
    <w:rsid w:val="3D913562"/>
    <w:rsid w:val="3DA43295"/>
    <w:rsid w:val="3DDF607B"/>
    <w:rsid w:val="3E1C72D0"/>
    <w:rsid w:val="3F9F1F66"/>
    <w:rsid w:val="401D732F"/>
    <w:rsid w:val="40694322"/>
    <w:rsid w:val="4246491B"/>
    <w:rsid w:val="42D57A4D"/>
    <w:rsid w:val="43486FC5"/>
    <w:rsid w:val="43B835F7"/>
    <w:rsid w:val="43FD36FF"/>
    <w:rsid w:val="440A5A5D"/>
    <w:rsid w:val="442E5667"/>
    <w:rsid w:val="457C4AF8"/>
    <w:rsid w:val="45BE6EBE"/>
    <w:rsid w:val="462907DC"/>
    <w:rsid w:val="46456C98"/>
    <w:rsid w:val="464B69A4"/>
    <w:rsid w:val="468C48C7"/>
    <w:rsid w:val="476D46F8"/>
    <w:rsid w:val="47C167F2"/>
    <w:rsid w:val="47DB4A81"/>
    <w:rsid w:val="482E197F"/>
    <w:rsid w:val="485A1120"/>
    <w:rsid w:val="498D72D3"/>
    <w:rsid w:val="49A62143"/>
    <w:rsid w:val="4BD42F98"/>
    <w:rsid w:val="4BED4B37"/>
    <w:rsid w:val="4C4A5008"/>
    <w:rsid w:val="4C710AE9"/>
    <w:rsid w:val="4CB46925"/>
    <w:rsid w:val="4CBB7CB4"/>
    <w:rsid w:val="4DF94F37"/>
    <w:rsid w:val="4E3B5550"/>
    <w:rsid w:val="4EB8094F"/>
    <w:rsid w:val="4FA35476"/>
    <w:rsid w:val="4FA90297"/>
    <w:rsid w:val="4FC74BC1"/>
    <w:rsid w:val="50325C96"/>
    <w:rsid w:val="51F6353C"/>
    <w:rsid w:val="520143BB"/>
    <w:rsid w:val="527106A1"/>
    <w:rsid w:val="531445C2"/>
    <w:rsid w:val="53F006E8"/>
    <w:rsid w:val="53FC752F"/>
    <w:rsid w:val="54091C4C"/>
    <w:rsid w:val="5415414D"/>
    <w:rsid w:val="544B7B6F"/>
    <w:rsid w:val="54DA3618"/>
    <w:rsid w:val="559519EA"/>
    <w:rsid w:val="55D63DB0"/>
    <w:rsid w:val="56F00EA2"/>
    <w:rsid w:val="5870229A"/>
    <w:rsid w:val="587B479B"/>
    <w:rsid w:val="58CD4FF7"/>
    <w:rsid w:val="596A4F3B"/>
    <w:rsid w:val="59D423B5"/>
    <w:rsid w:val="5A3966BC"/>
    <w:rsid w:val="5AEB3E5A"/>
    <w:rsid w:val="5B2F1CFC"/>
    <w:rsid w:val="5B615ECA"/>
    <w:rsid w:val="5BA069F2"/>
    <w:rsid w:val="5BB43EFF"/>
    <w:rsid w:val="5D3C274B"/>
    <w:rsid w:val="5D7F6ADB"/>
    <w:rsid w:val="5E0C4813"/>
    <w:rsid w:val="5E59557E"/>
    <w:rsid w:val="5EFC4888"/>
    <w:rsid w:val="5F2B6F1B"/>
    <w:rsid w:val="5FCD1D80"/>
    <w:rsid w:val="5FD70E51"/>
    <w:rsid w:val="5FE5356E"/>
    <w:rsid w:val="6062696C"/>
    <w:rsid w:val="6087600F"/>
    <w:rsid w:val="60B3541A"/>
    <w:rsid w:val="60C413D5"/>
    <w:rsid w:val="61057AEA"/>
    <w:rsid w:val="632524B4"/>
    <w:rsid w:val="63BC6393"/>
    <w:rsid w:val="63E817A0"/>
    <w:rsid w:val="64487C27"/>
    <w:rsid w:val="64A82DBC"/>
    <w:rsid w:val="65556AA0"/>
    <w:rsid w:val="65C60144"/>
    <w:rsid w:val="66A6332B"/>
    <w:rsid w:val="6736645D"/>
    <w:rsid w:val="680447AD"/>
    <w:rsid w:val="684352D5"/>
    <w:rsid w:val="684B5F38"/>
    <w:rsid w:val="693E784B"/>
    <w:rsid w:val="695E52C5"/>
    <w:rsid w:val="69653029"/>
    <w:rsid w:val="69AE677E"/>
    <w:rsid w:val="69FC1BE0"/>
    <w:rsid w:val="6AA54025"/>
    <w:rsid w:val="6B064398"/>
    <w:rsid w:val="6CC4275D"/>
    <w:rsid w:val="6D0019E7"/>
    <w:rsid w:val="6D411B6C"/>
    <w:rsid w:val="6DB93944"/>
    <w:rsid w:val="6E443B55"/>
    <w:rsid w:val="6E8F42D3"/>
    <w:rsid w:val="6E9F0D8B"/>
    <w:rsid w:val="70647626"/>
    <w:rsid w:val="70ED4030"/>
    <w:rsid w:val="725620A9"/>
    <w:rsid w:val="7265409A"/>
    <w:rsid w:val="727B1B10"/>
    <w:rsid w:val="730D6C0C"/>
    <w:rsid w:val="782567A5"/>
    <w:rsid w:val="78D12489"/>
    <w:rsid w:val="79134850"/>
    <w:rsid w:val="796C3F60"/>
    <w:rsid w:val="7A5A025C"/>
    <w:rsid w:val="7B786BEC"/>
    <w:rsid w:val="7C7970C0"/>
    <w:rsid w:val="7E7044F2"/>
    <w:rsid w:val="7EB42631"/>
    <w:rsid w:val="7F7B6CAB"/>
    <w:rsid w:val="7F7B789C"/>
    <w:rsid w:val="7F8A1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2750</Words>
  <Characters>3014</Characters>
  <TotalTime>6</TotalTime>
  <ScaleCrop>false</ScaleCrop>
  <LinksUpToDate>false</LinksUpToDate>
  <CharactersWithSpaces>3023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2026-03-11T08:02:00Z</dcterms:created>
  <dc:creator>admin</dc:creator>
  <cp:lastModifiedBy>周紫盈</cp:lastModifiedBy>
  <dcterms:modified xsi:type="dcterms:W3CDTF">2026-03-25T09:08:19Z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2026-03-11T08:02:40Z</vt:filetime>
  </property>
  <property fmtid="{D5CDD505-2E9C-101B-9397-08002B2CF9AE}" pid="4" name="UsrData">
    <vt:lpwstr>69b0b11d43cd31001f0adee4wl</vt:lpwstr>
  </property>
  <property fmtid="{D5CDD505-2E9C-101B-9397-08002B2CF9AE}" pid="5" name="KSOTemplateDocerSaveRecord">
    <vt:lpwstr>eyJoZGlkIjoiNGNiMmY5NjJkNzQ5MjE1NmU3YWM2ZWI0ZDNkZGI2NzkiLCJ1c2VySWQiOiIxMDg0NzU1OTAxIn0=</vt:lpwstr>
  </property>
  <property fmtid="{D5CDD505-2E9C-101B-9397-08002B2CF9AE}" pid="6" name="KSOProductBuildVer">
    <vt:lpwstr>2052-12.1.0.25225</vt:lpwstr>
  </property>
  <property fmtid="{D5CDD505-2E9C-101B-9397-08002B2CF9AE}" pid="7" name="ICV">
    <vt:lpwstr>21EEA84BA3D04F788998BEBEC1EDB8D6_13</vt:lpwstr>
  </property>
</Properties>
</file>