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8F16D"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bCs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Cs/>
          <w:kern w:val="0"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方正小标宋_GBK" w:cs="Times New Roman"/>
          <w:bCs/>
          <w:kern w:val="0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_GBK" w:cs="Times New Roman"/>
          <w:bCs/>
          <w:kern w:val="0"/>
          <w:sz w:val="44"/>
          <w:szCs w:val="44"/>
          <w:lang w:eastAsia="zh-CN"/>
        </w:rPr>
        <w:t>年</w:t>
      </w:r>
      <w:r>
        <w:rPr>
          <w:rFonts w:hint="default" w:ascii="Times New Roman" w:hAnsi="Times New Roman" w:eastAsia="方正小标宋_GBK" w:cs="Times New Roman"/>
          <w:bCs/>
          <w:kern w:val="0"/>
          <w:sz w:val="44"/>
          <w:szCs w:val="44"/>
        </w:rPr>
        <w:t>湖南省广播电视局岳阳中波转播台</w:t>
      </w:r>
    </w:p>
    <w:p w14:paraId="088E8333"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bCs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kern w:val="0"/>
          <w:sz w:val="44"/>
          <w:szCs w:val="44"/>
        </w:rPr>
        <w:t>单位预算</w:t>
      </w:r>
    </w:p>
    <w:p w14:paraId="7E7D7DE9"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bCs/>
          <w:kern w:val="0"/>
          <w:sz w:val="44"/>
          <w:szCs w:val="44"/>
        </w:rPr>
      </w:pPr>
    </w:p>
    <w:p w14:paraId="3DF3E0AC">
      <w:pPr>
        <w:widowControl/>
        <w:spacing w:line="600" w:lineRule="exact"/>
        <w:jc w:val="center"/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目录</w:t>
      </w:r>
    </w:p>
    <w:p w14:paraId="729BC836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</w:pPr>
    </w:p>
    <w:p w14:paraId="7ED5BD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default" w:ascii="Times New Roman" w:hAnsi="Times New Roman" w:eastAsia="方正小标宋_GBK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第一部分</w:t>
      </w:r>
      <w:r>
        <w:rPr>
          <w:rFonts w:hint="eastAsia" w:ascii="Times New Roman" w:hAnsi="Times New Roman" w:eastAsia="方正小标宋_GBK" w:cs="Times New Roman"/>
          <w:b/>
          <w:bCs/>
          <w:kern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方正小标宋_GBK" w:cs="Times New Roman"/>
          <w:b/>
          <w:bCs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单位预算说明</w:t>
      </w:r>
    </w:p>
    <w:p w14:paraId="6520B0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第二部分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单位预算表</w:t>
      </w:r>
    </w:p>
    <w:p w14:paraId="6BB40A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1、收支总表</w:t>
      </w:r>
    </w:p>
    <w:p w14:paraId="482DDB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2、收入总表</w:t>
      </w:r>
    </w:p>
    <w:p w14:paraId="1CD7F2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3、支出总表</w:t>
      </w:r>
    </w:p>
    <w:p w14:paraId="7CDF3B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4、支出预算分类汇总表（按政府预算经济分类）</w:t>
      </w:r>
    </w:p>
    <w:p w14:paraId="52E4E6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5、支出预算分类汇总表（按部门预算经济分类）</w:t>
      </w:r>
    </w:p>
    <w:p w14:paraId="67C222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6、财政拨款收支总表</w:t>
      </w:r>
    </w:p>
    <w:p w14:paraId="086313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7、一般公共预算支出表</w:t>
      </w:r>
    </w:p>
    <w:p w14:paraId="348799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8、一般公共预算基本支出表-人员经费（工资福利支出）（按政府预算经济分类）</w:t>
      </w:r>
    </w:p>
    <w:p w14:paraId="443A3D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9、一般公共预算基本支出表-人员经费（工资福利支出）（按部门预算经济分类）</w:t>
      </w:r>
    </w:p>
    <w:p w14:paraId="70ACCF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10、一般公共预算基本支出表-人员经费（对个人和家庭的补助）（按政府预算经济分类）</w:t>
      </w:r>
    </w:p>
    <w:p w14:paraId="478B1D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11、一般公共预算基本支出表-人员经费（对个人和家庭的补助）（按部门预算经济分类）</w:t>
      </w:r>
    </w:p>
    <w:p w14:paraId="27988A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12、一般公共预算基本支出表-公用经费（商品和服务支出）（按政府预算经济分类）</w:t>
      </w:r>
    </w:p>
    <w:p w14:paraId="767332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13、一般公共预算基本支出表-公用经费（商品和服务支出）（按部门预算经济分类）</w:t>
      </w:r>
    </w:p>
    <w:p w14:paraId="575823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14、一般公共预算“三公”经费支出表</w:t>
      </w:r>
    </w:p>
    <w:p w14:paraId="43F74C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15、政府性基金预算支出表</w:t>
      </w:r>
    </w:p>
    <w:p w14:paraId="685B0F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2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-11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16、政府性基金预算支出分类汇总表（按政府预算经济分类）</w:t>
      </w:r>
    </w:p>
    <w:p w14:paraId="4608A1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2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17、政府性基金预算支出分类汇总表（按部门预算经济分类）</w:t>
      </w:r>
    </w:p>
    <w:p w14:paraId="22EF12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18、国有资本经营预算支出表</w:t>
      </w:r>
    </w:p>
    <w:p w14:paraId="53885F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19、财政专户管理资金预算支出表</w:t>
      </w:r>
    </w:p>
    <w:p w14:paraId="723F61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20、省级专项资金预算汇总表</w:t>
      </w:r>
    </w:p>
    <w:p w14:paraId="4387A1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21、省级专项资金绩效目标表</w:t>
      </w:r>
    </w:p>
    <w:p w14:paraId="01F8C5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22、其他项目支出绩效目标表</w:t>
      </w:r>
    </w:p>
    <w:p w14:paraId="67DA1C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23、部门整体支出绩效目标表</w:t>
      </w:r>
    </w:p>
    <w:p w14:paraId="4ABF28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</w:rPr>
        <w:t>注：</w:t>
      </w:r>
    </w:p>
    <w:p w14:paraId="0CDAED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  <w:lang w:val="en-US" w:eastAsia="zh-CN"/>
        </w:rPr>
        <w:t>1、</w:t>
      </w:r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</w:rPr>
        <w:t>以上</w:t>
      </w:r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</w:rPr>
        <w:t>预算报表中，</w:t>
      </w:r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  <w:lang w:eastAsia="zh-CN"/>
        </w:rPr>
        <w:t>如</w:t>
      </w:r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</w:rPr>
        <w:t>本</w:t>
      </w:r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</w:rPr>
        <w:t>无相关情况</w:t>
      </w:r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  <w:lang w:eastAsia="zh-CN"/>
        </w:rPr>
        <w:t>，也需公开空表</w:t>
      </w:r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  <w:lang w:eastAsia="zh-CN"/>
        </w:rPr>
        <w:t>，不得随意删减或仅在单位预算说明中以文字表述</w:t>
      </w:r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</w:rPr>
        <w:t>。</w:t>
      </w:r>
    </w:p>
    <w:p w14:paraId="4A847F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  <w:lang w:val="en-US" w:eastAsia="zh-CN"/>
        </w:rPr>
        <w:t>2、按照财政部要求，公开预算必须编制目录，不得以预算管理一体化系统中导出公开表格的目录代替公开目录。</w:t>
      </w:r>
    </w:p>
    <w:p w14:paraId="646679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  <w:lang w:val="en-US" w:eastAsia="zh-CN"/>
        </w:rPr>
        <w:t>3、除上年结转编入部门预算外，如当年有编列项目支出预算，则“22、其他项目支出绩效目标表”不得为空，或仅填列金额而无具体绩效指标说明。</w:t>
      </w:r>
    </w:p>
    <w:p w14:paraId="135622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77DDD8F"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bCs/>
          <w:kern w:val="0"/>
          <w:sz w:val="36"/>
          <w:szCs w:val="36"/>
        </w:rPr>
      </w:pPr>
    </w:p>
    <w:p w14:paraId="4AC93875"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bCs/>
          <w:kern w:val="0"/>
          <w:sz w:val="36"/>
          <w:szCs w:val="36"/>
        </w:rPr>
      </w:pPr>
    </w:p>
    <w:p w14:paraId="6F8D4BA3">
      <w:pPr>
        <w:widowControl/>
        <w:spacing w:line="600" w:lineRule="exact"/>
        <w:jc w:val="both"/>
        <w:rPr>
          <w:rFonts w:hint="default" w:ascii="Times New Roman" w:hAnsi="Times New Roman" w:eastAsia="方正小标宋_GBK" w:cs="Times New Roman"/>
          <w:bCs/>
          <w:kern w:val="0"/>
          <w:sz w:val="36"/>
          <w:szCs w:val="36"/>
        </w:rPr>
      </w:pPr>
    </w:p>
    <w:p w14:paraId="3DE609CB"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bCs/>
          <w:kern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Cs/>
          <w:kern w:val="0"/>
          <w:sz w:val="36"/>
          <w:szCs w:val="36"/>
        </w:rPr>
        <w:t>第一部分</w:t>
      </w:r>
      <w:r>
        <w:rPr>
          <w:rFonts w:hint="eastAsia" w:ascii="Times New Roman" w:hAnsi="Times New Roman" w:eastAsia="方正小标宋_GBK" w:cs="Times New Roman"/>
          <w:bCs/>
          <w:kern w:val="0"/>
          <w:sz w:val="36"/>
          <w:szCs w:val="36"/>
          <w:lang w:eastAsia="zh-CN"/>
        </w:rPr>
        <w:t>202</w:t>
      </w:r>
      <w:r>
        <w:rPr>
          <w:rFonts w:hint="eastAsia" w:ascii="Times New Roman" w:hAnsi="Times New Roman" w:eastAsia="方正小标宋_GBK" w:cs="Times New Roman"/>
          <w:bCs/>
          <w:kern w:val="0"/>
          <w:sz w:val="36"/>
          <w:szCs w:val="36"/>
          <w:lang w:val="en-US" w:eastAsia="zh-CN"/>
        </w:rPr>
        <w:t>6</w:t>
      </w:r>
      <w:r>
        <w:rPr>
          <w:rFonts w:hint="eastAsia" w:ascii="Times New Roman" w:hAnsi="Times New Roman" w:eastAsia="方正小标宋_GBK" w:cs="Times New Roman"/>
          <w:bCs/>
          <w:kern w:val="0"/>
          <w:sz w:val="36"/>
          <w:szCs w:val="36"/>
          <w:lang w:eastAsia="zh-CN"/>
        </w:rPr>
        <w:t>年</w:t>
      </w:r>
      <w:r>
        <w:rPr>
          <w:rFonts w:hint="default" w:ascii="Times New Roman" w:hAnsi="Times New Roman" w:eastAsia="方正小标宋_GBK" w:cs="Times New Roman"/>
          <w:bCs/>
          <w:kern w:val="0"/>
          <w:sz w:val="36"/>
          <w:szCs w:val="36"/>
        </w:rPr>
        <w:t>单位预算说明</w:t>
      </w:r>
    </w:p>
    <w:p w14:paraId="6EE03697">
      <w:pPr>
        <w:widowControl/>
        <w:spacing w:line="600" w:lineRule="exact"/>
        <w:jc w:val="left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</w:p>
    <w:p w14:paraId="2E4CD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一、单位基本概况</w:t>
      </w:r>
    </w:p>
    <w:p w14:paraId="53BCC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24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（一）职能职责。</w:t>
      </w:r>
      <w:r>
        <w:rPr>
          <w:rFonts w:hint="eastAsia" w:ascii="仿宋_GB2312" w:hAnsi="仿宋_GB2312" w:eastAsia="仿宋_GB2312" w:cs="仿宋_GB2312"/>
          <w:color w:val="000000"/>
          <w:kern w:val="24"/>
          <w:sz w:val="32"/>
          <w:szCs w:val="32"/>
        </w:rPr>
        <w:t>岳阳中波转播台主要职能是转播广播电视节目，促进社会经济文化发展。转播广播电台节目及广播电视信号，监听、检测，实验任务。</w:t>
      </w:r>
    </w:p>
    <w:p w14:paraId="7ED88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（二）机构设置。</w:t>
      </w:r>
      <w:r>
        <w:rPr>
          <w:rFonts w:hint="default" w:ascii="仿宋_GB2312" w:hAnsi="仿宋_GB2312" w:eastAsia="仿宋_GB2312" w:cs="仿宋_GB2312"/>
          <w:color w:val="000000"/>
          <w:kern w:val="24"/>
          <w:sz w:val="32"/>
          <w:szCs w:val="32"/>
        </w:rPr>
        <w:t>岳阳中波转播台是</w:t>
      </w:r>
      <w:r>
        <w:rPr>
          <w:rFonts w:hint="eastAsia" w:ascii="仿宋_GB2312" w:hAnsi="仿宋_GB2312" w:eastAsia="仿宋_GB2312" w:cs="仿宋_GB2312"/>
          <w:color w:val="000000"/>
          <w:kern w:val="24"/>
          <w:sz w:val="32"/>
          <w:szCs w:val="32"/>
          <w:lang w:eastAsia="zh-CN"/>
        </w:rPr>
        <w:t>湖南</w:t>
      </w:r>
      <w:r>
        <w:rPr>
          <w:rFonts w:hint="default" w:ascii="仿宋_GB2312" w:hAnsi="仿宋_GB2312" w:eastAsia="仿宋_GB2312" w:cs="仿宋_GB2312"/>
          <w:color w:val="000000"/>
          <w:kern w:val="24"/>
          <w:sz w:val="32"/>
          <w:szCs w:val="32"/>
        </w:rPr>
        <w:t>省广播电视局直属的全额拨款事业单位，核定编制34人，现有在职人员2</w:t>
      </w:r>
      <w:r>
        <w:rPr>
          <w:rFonts w:hint="eastAsia" w:ascii="仿宋_GB2312" w:hAnsi="仿宋_GB2312" w:eastAsia="仿宋_GB2312" w:cs="仿宋_GB2312"/>
          <w:color w:val="000000"/>
          <w:kern w:val="24"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color w:val="000000"/>
          <w:kern w:val="24"/>
          <w:sz w:val="32"/>
          <w:szCs w:val="32"/>
        </w:rPr>
        <w:t>人，退休人员2</w:t>
      </w:r>
      <w:r>
        <w:rPr>
          <w:rFonts w:hint="eastAsia" w:ascii="仿宋_GB2312" w:hAnsi="仿宋_GB2312" w:eastAsia="仿宋_GB2312" w:cs="仿宋_GB2312"/>
          <w:color w:val="000000"/>
          <w:kern w:val="24"/>
          <w:sz w:val="32"/>
          <w:szCs w:val="32"/>
          <w:lang w:val="en-US" w:eastAsia="zh-CN"/>
        </w:rPr>
        <w:t>7</w:t>
      </w:r>
      <w:r>
        <w:rPr>
          <w:rFonts w:hint="default" w:ascii="仿宋_GB2312" w:hAnsi="仿宋_GB2312" w:eastAsia="仿宋_GB2312" w:cs="仿宋_GB2312"/>
          <w:color w:val="000000"/>
          <w:kern w:val="24"/>
          <w:sz w:val="32"/>
          <w:szCs w:val="32"/>
        </w:rPr>
        <w:t>人。机构内部设置办公室，机房部，保安部。</w:t>
      </w:r>
    </w:p>
    <w:p w14:paraId="08CC9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eastAsia" w:ascii="Times New Roman" w:hAnsi="Times New Roman" w:eastAsia="黑体" w:cs="Times New Roman"/>
          <w:bCs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bCs/>
          <w:kern w:val="0"/>
          <w:sz w:val="32"/>
          <w:szCs w:val="32"/>
          <w:lang w:eastAsia="zh-CN"/>
        </w:rPr>
        <w:t>二、预算单位构成</w:t>
      </w:r>
    </w:p>
    <w:p w14:paraId="2CB58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4"/>
          <w:sz w:val="32"/>
          <w:szCs w:val="32"/>
          <w:lang w:eastAsia="zh-CN"/>
        </w:rPr>
        <w:t>湖南省广播电视局岳阳中波转播台单位</w:t>
      </w:r>
      <w:r>
        <w:rPr>
          <w:rFonts w:hint="eastAsia" w:eastAsia="仿宋_GB2312"/>
          <w:sz w:val="32"/>
          <w:szCs w:val="32"/>
        </w:rPr>
        <w:t>无下属</w:t>
      </w:r>
      <w:r>
        <w:rPr>
          <w:rFonts w:eastAsia="仿宋_GB2312"/>
          <w:sz w:val="32"/>
          <w:szCs w:val="32"/>
        </w:rPr>
        <w:t>预算单位。</w:t>
      </w:r>
    </w:p>
    <w:p w14:paraId="335DE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黑体" w:cs="Times New Roman"/>
          <w:bCs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bCs/>
          <w:kern w:val="0"/>
          <w:sz w:val="32"/>
          <w:szCs w:val="32"/>
          <w:highlight w:val="none"/>
          <w:lang w:eastAsia="zh-CN"/>
        </w:rPr>
        <w:t>三</w:t>
      </w: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  <w:highlight w:val="none"/>
        </w:rPr>
        <w:t>、单位收支总体情况</w:t>
      </w:r>
    </w:p>
    <w:p w14:paraId="26E8E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eastAsia" w:ascii="Times New Roman" w:hAnsi="Times New Roman" w:eastAsia="仿宋_GB2312" w:cs="Times New Roman"/>
          <w:b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（一）收入预算：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包括一般公共预算、政府性基金、国有资本经营预算等财政拨款收入，以及经营收入、事业收入等单位资金。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本单位收入预算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670.75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万元，其中，一般公共预算拨款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664.42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万元，中央一般公共预算补助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6.2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万元，上年结转结余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0.13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万元。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</w:rPr>
        <w:t>收入较去年增加</w:t>
      </w:r>
      <w:r>
        <w:rPr>
          <w:rFonts w:hint="eastAsia" w:eastAsia="仿宋_GB2312" w:cs="Times New Roman"/>
          <w:b/>
          <w:sz w:val="32"/>
          <w:szCs w:val="32"/>
          <w:highlight w:val="none"/>
          <w:u w:val="none"/>
          <w:lang w:val="en-US" w:eastAsia="zh-CN"/>
        </w:rPr>
        <w:t>58.62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</w:rPr>
        <w:t>万元，主要是本年较上年增加了</w:t>
      </w:r>
      <w:r>
        <w:rPr>
          <w:rFonts w:hint="eastAsia" w:eastAsia="仿宋_GB2312" w:cs="Times New Roman"/>
          <w:b/>
          <w:sz w:val="32"/>
          <w:szCs w:val="32"/>
          <w:highlight w:val="none"/>
          <w:u w:val="none"/>
          <w:lang w:eastAsia="zh-CN"/>
        </w:rPr>
        <w:t>劳务补偿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</w:rPr>
        <w:t>款</w:t>
      </w:r>
      <w:r>
        <w:rPr>
          <w:rFonts w:hint="eastAsia" w:eastAsia="仿宋_GB2312" w:cs="Times New Roman"/>
          <w:b/>
          <w:sz w:val="32"/>
          <w:szCs w:val="32"/>
          <w:highlight w:val="none"/>
          <w:u w:val="none"/>
          <w:lang w:eastAsia="zh-CN"/>
        </w:rPr>
        <w:t>及职工之家维修费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</w:rPr>
        <w:t>等原因所致</w:t>
      </w:r>
      <w:r>
        <w:rPr>
          <w:rFonts w:hint="eastAsia" w:eastAsia="仿宋_GB2312" w:cs="Times New Roman"/>
          <w:b/>
          <w:sz w:val="32"/>
          <w:szCs w:val="32"/>
          <w:highlight w:val="none"/>
          <w:u w:val="none"/>
          <w:lang w:eastAsia="zh-CN"/>
        </w:rPr>
        <w:t>。</w:t>
      </w:r>
    </w:p>
    <w:p w14:paraId="0E4EF4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u w:val="none"/>
        </w:rPr>
        <w:t>（一）支出预算：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2026年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本单位支出预算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670.75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万元，其中，其中，教育支出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0.53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万元，文化旅游体育与传媒支出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507.43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万元，社会保障和就业支出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9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4.03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万元，卫生健康支出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3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4.26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住房保障支出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3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4.50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万元</w:t>
      </w:r>
      <w:r>
        <w:rPr>
          <w:rFonts w:hint="eastAsia" w:eastAsia="仿宋_GB2312" w:cs="Times New Roman"/>
          <w:sz w:val="32"/>
          <w:szCs w:val="32"/>
          <w:u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</w:rPr>
        <w:t>支出较去年增加</w:t>
      </w:r>
      <w:r>
        <w:rPr>
          <w:rFonts w:hint="eastAsia" w:eastAsia="仿宋_GB2312" w:cs="Times New Roman"/>
          <w:b/>
          <w:sz w:val="32"/>
          <w:szCs w:val="32"/>
          <w:highlight w:val="none"/>
          <w:u w:val="none"/>
          <w:lang w:val="en-US" w:eastAsia="zh-CN"/>
        </w:rPr>
        <w:t>58.62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</w:rPr>
        <w:t>万元，主要是本年较上年增加了劳务补偿款及职工之家维修费等原因所致。</w:t>
      </w:r>
    </w:p>
    <w:p w14:paraId="2623B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u w:val="none"/>
          <w:lang w:eastAsia="zh-CN"/>
        </w:rPr>
        <w:t>四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</w:rPr>
        <w:t>、一般公共预算拨款支出</w:t>
      </w:r>
    </w:p>
    <w:p w14:paraId="56ABD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2026年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本单位一般公共预算拨款支出预算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670.75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万元，其中，教育支出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0.53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万元，占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0.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08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%；文化旅游体育与传媒支出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507.43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占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7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5.65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%；社会保障和就业支出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94.03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占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1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4.02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%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卫生健康支出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34.26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占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5.11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%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住房保障支出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34.50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占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5.14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%。具体安排情况如下：</w:t>
      </w:r>
    </w:p>
    <w:p w14:paraId="61F741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u w:val="none"/>
        </w:rPr>
        <w:t>（</w:t>
      </w:r>
      <w:r>
        <w:rPr>
          <w:rFonts w:hint="eastAsia" w:eastAsia="楷体_GB2312" w:cs="Times New Roman"/>
          <w:b/>
          <w:sz w:val="32"/>
          <w:szCs w:val="32"/>
          <w:u w:val="none"/>
          <w:lang w:eastAsia="zh-CN"/>
        </w:rPr>
        <w:t>一</w:t>
      </w:r>
      <w:r>
        <w:rPr>
          <w:rFonts w:hint="default" w:ascii="Times New Roman" w:hAnsi="Times New Roman" w:eastAsia="楷体_GB2312" w:cs="Times New Roman"/>
          <w:b/>
          <w:sz w:val="32"/>
          <w:szCs w:val="32"/>
          <w:u w:val="none"/>
        </w:rPr>
        <w:t>）基本支出：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2026年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本单位基本支出预算数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531.80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万元，主要是为保障单位机构正常运转、完成日常工作任务而发生的各项支出，包括用于基本工资、津贴补贴等人员经费以及办公费、印刷费、水电费、办公设备购置等公用经费。</w:t>
      </w:r>
    </w:p>
    <w:p w14:paraId="4BA1D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u w:val="none"/>
        </w:rPr>
        <w:t>（二）项目支出：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2026年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本单位项目支出预算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138.95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万元，主要是部门为完成特定行政工作任务或事业发展目标而发生的支出，包括有关事业发展专项、专项业务费、基本建设支出等，其中：其他事业发展资金支出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136.25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万元，主要用于台站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运维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管理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、办公设备购置及台站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维修建设等方面的支出；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运行维护经费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支出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2.7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万元，主要用于台站播出运维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管理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方面的支出。</w:t>
      </w:r>
    </w:p>
    <w:p w14:paraId="56248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u w:val="none"/>
          <w:lang w:eastAsia="zh-CN"/>
        </w:rPr>
        <w:t>五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</w:rPr>
        <w:t>、政府性基金预算支出</w:t>
      </w:r>
    </w:p>
    <w:p w14:paraId="6F920910">
      <w:pPr>
        <w:pStyle w:val="5"/>
        <w:widowControl/>
        <w:shd w:val="clear" w:color="auto" w:fill="FFFFFF"/>
        <w:spacing w:beforeAutospacing="0" w:afterAutospacing="0" w:line="450" w:lineRule="atLeast"/>
        <w:ind w:firstLine="636" w:firstLineChars="200"/>
        <w:rPr>
          <w:rFonts w:hint="eastAsia" w:ascii="Times New Roman" w:hAnsi="Times New Roman" w:eastAsia="黑体" w:cs="Times New Roman"/>
          <w:sz w:val="32"/>
          <w:szCs w:val="32"/>
          <w:highlight w:val="none"/>
          <w:u w:val="none"/>
          <w:lang w:eastAsia="zh-CN"/>
        </w:rPr>
      </w:pPr>
      <w:r>
        <w:rPr>
          <w:rFonts w:hint="eastAsia" w:eastAsia="仿宋_GB2312"/>
          <w:kern w:val="2"/>
          <w:sz w:val="32"/>
          <w:szCs w:val="32"/>
          <w:u w:val="none"/>
        </w:rPr>
        <w:t>202</w:t>
      </w:r>
      <w:r>
        <w:rPr>
          <w:rFonts w:hint="eastAsia" w:eastAsia="仿宋_GB2312"/>
          <w:kern w:val="2"/>
          <w:sz w:val="32"/>
          <w:szCs w:val="32"/>
          <w:u w:val="none"/>
          <w:lang w:val="en-US" w:eastAsia="zh-CN"/>
        </w:rPr>
        <w:t>6</w:t>
      </w:r>
      <w:r>
        <w:rPr>
          <w:rFonts w:hint="eastAsia" w:eastAsia="仿宋_GB2312"/>
          <w:kern w:val="2"/>
          <w:sz w:val="32"/>
          <w:szCs w:val="32"/>
          <w:u w:val="none"/>
        </w:rPr>
        <w:t>年</w:t>
      </w:r>
      <w:r>
        <w:rPr>
          <w:rFonts w:eastAsia="仿宋_GB2312"/>
          <w:kern w:val="2"/>
          <w:sz w:val="32"/>
          <w:szCs w:val="32"/>
          <w:u w:val="none"/>
        </w:rPr>
        <w:t>本</w:t>
      </w:r>
      <w:r>
        <w:rPr>
          <w:rFonts w:hint="eastAsia" w:eastAsia="仿宋_GB2312"/>
          <w:kern w:val="2"/>
          <w:sz w:val="32"/>
          <w:szCs w:val="32"/>
          <w:u w:val="none"/>
        </w:rPr>
        <w:t>单位</w:t>
      </w:r>
      <w:r>
        <w:rPr>
          <w:rFonts w:eastAsia="仿宋_GB2312"/>
          <w:kern w:val="2"/>
          <w:sz w:val="32"/>
          <w:szCs w:val="32"/>
          <w:u w:val="none"/>
        </w:rPr>
        <w:t>无政府性基金安排的支出</w:t>
      </w:r>
      <w:r>
        <w:rPr>
          <w:rFonts w:hint="eastAsia" w:eastAsia="仿宋_GB2312"/>
          <w:kern w:val="2"/>
          <w:sz w:val="32"/>
          <w:szCs w:val="32"/>
          <w:u w:val="none"/>
          <w:lang w:eastAsia="zh-CN"/>
        </w:rPr>
        <w:t>。</w:t>
      </w:r>
    </w:p>
    <w:p w14:paraId="729C9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u w:val="none"/>
          <w:lang w:eastAsia="zh-CN"/>
        </w:rPr>
        <w:t>六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</w:rPr>
        <w:t>、其他重要事项的情况说明</w:t>
      </w:r>
    </w:p>
    <w:p w14:paraId="3C91B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u w:val="none"/>
        </w:rPr>
        <w:t>（一）运行经费：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2026年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本单位运行经费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40.68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万元，</w:t>
      </w:r>
      <w:r>
        <w:rPr>
          <w:rFonts w:hint="eastAsia" w:eastAsia="仿宋_GB2312" w:cs="Times New Roman"/>
          <w:sz w:val="32"/>
          <w:szCs w:val="32"/>
          <w:u w:val="none"/>
          <w:lang w:eastAsia="zh-CN"/>
        </w:rPr>
        <w:t>与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上年预算持平</w:t>
      </w:r>
      <w:r>
        <w:rPr>
          <w:rFonts w:hint="eastAsia" w:eastAsia="仿宋_GB2312" w:cs="Times New Roman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主要是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因为</w:t>
      </w:r>
      <w:r>
        <w:rPr>
          <w:rFonts w:hint="eastAsia" w:eastAsia="仿宋_GB2312"/>
          <w:sz w:val="32"/>
          <w:szCs w:val="32"/>
          <w:u w:val="none"/>
        </w:rPr>
        <w:t>单位</w:t>
      </w:r>
      <w:r>
        <w:rPr>
          <w:rFonts w:eastAsia="仿宋_GB2312"/>
          <w:sz w:val="32"/>
          <w:szCs w:val="32"/>
          <w:u w:val="none"/>
        </w:rPr>
        <w:t>本着过紧日子</w:t>
      </w:r>
      <w:r>
        <w:rPr>
          <w:rFonts w:hint="eastAsia" w:eastAsia="仿宋_GB2312"/>
          <w:sz w:val="32"/>
          <w:szCs w:val="32"/>
          <w:u w:val="none"/>
        </w:rPr>
        <w:t>的原则</w:t>
      </w:r>
      <w:r>
        <w:rPr>
          <w:rFonts w:eastAsia="仿宋_GB2312"/>
          <w:sz w:val="32"/>
          <w:szCs w:val="32"/>
          <w:u w:val="none"/>
        </w:rPr>
        <w:t>，</w:t>
      </w:r>
      <w:r>
        <w:rPr>
          <w:rFonts w:hint="eastAsia" w:eastAsia="仿宋_GB2312"/>
          <w:sz w:val="32"/>
          <w:szCs w:val="32"/>
          <w:u w:val="none"/>
        </w:rPr>
        <w:t>实行</w:t>
      </w:r>
      <w:r>
        <w:rPr>
          <w:rFonts w:eastAsia="仿宋_GB2312"/>
          <w:sz w:val="32"/>
          <w:szCs w:val="32"/>
          <w:u w:val="none"/>
        </w:rPr>
        <w:t>厉行节约</w:t>
      </w:r>
      <w:r>
        <w:rPr>
          <w:rFonts w:hint="eastAsia" w:eastAsia="仿宋_GB2312"/>
          <w:sz w:val="32"/>
          <w:szCs w:val="32"/>
          <w:u w:val="none"/>
        </w:rPr>
        <w:t>，</w:t>
      </w:r>
      <w:r>
        <w:rPr>
          <w:rFonts w:hint="eastAsia" w:eastAsia="仿宋_GB2312"/>
          <w:sz w:val="32"/>
          <w:szCs w:val="32"/>
          <w:u w:val="none"/>
          <w:lang w:eastAsia="zh-CN"/>
        </w:rPr>
        <w:t>从严控制</w:t>
      </w:r>
      <w:r>
        <w:rPr>
          <w:rFonts w:eastAsia="仿宋_GB2312"/>
          <w:sz w:val="32"/>
          <w:szCs w:val="32"/>
          <w:u w:val="none"/>
        </w:rPr>
        <w:t>一般性公用</w:t>
      </w:r>
      <w:r>
        <w:rPr>
          <w:rFonts w:hint="eastAsia" w:eastAsia="仿宋_GB2312"/>
          <w:sz w:val="32"/>
          <w:szCs w:val="32"/>
          <w:u w:val="none"/>
          <w:lang w:eastAsia="zh-CN"/>
        </w:rPr>
        <w:t>经费</w:t>
      </w:r>
      <w:r>
        <w:rPr>
          <w:rFonts w:eastAsia="仿宋_GB2312"/>
          <w:sz w:val="32"/>
          <w:szCs w:val="32"/>
          <w:u w:val="none"/>
        </w:rPr>
        <w:t>支</w:t>
      </w:r>
      <w:r>
        <w:rPr>
          <w:rFonts w:hint="eastAsia" w:eastAsia="仿宋_GB2312"/>
          <w:sz w:val="32"/>
          <w:szCs w:val="32"/>
          <w:u w:val="none"/>
        </w:rPr>
        <w:t>出</w:t>
      </w:r>
      <w:r>
        <w:rPr>
          <w:rFonts w:hint="eastAsia" w:eastAsia="仿宋_GB2312"/>
          <w:sz w:val="32"/>
          <w:szCs w:val="32"/>
          <w:u w:val="none"/>
          <w:lang w:eastAsia="zh-CN"/>
        </w:rPr>
        <w:t>规模。</w:t>
      </w:r>
    </w:p>
    <w:p w14:paraId="3971F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u w:val="none"/>
        </w:rPr>
        <w:t>（二）“三公”经费预算：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2026年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本单位“三公”经费预算数为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万元，其中，公务接待费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1.5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万元，公务用车购置及运行费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1.5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万元（其中，公务用车购置费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万元，公务用车运行费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1.5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万元），因公出国（境）费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万元。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2026年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“三公”经费预算较上年持平，主要是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因为单位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严格贯彻落实中央八项规定，厉行勤俭节约，从严控制“三公”经费规模。</w:t>
      </w:r>
    </w:p>
    <w:p w14:paraId="71390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u w:val="none"/>
        </w:rPr>
        <w:t>（三）一般性支出情况：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2026年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  <w:t>本单位会议费预算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  <w:t>万元，拟召开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  <w:t>会议，人数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  <w:t>人；培训费预算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0.53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  <w:t>万元，拟开展湖南省事业单位工作人员管理线上平台培训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1</w:t>
      </w:r>
      <w:r>
        <w:rPr>
          <w:rFonts w:hint="eastAsia" w:eastAsia="仿宋_GB2312" w:cs="Times New Roman"/>
          <w:kern w:val="0"/>
          <w:sz w:val="32"/>
          <w:szCs w:val="32"/>
          <w:u w:val="none"/>
          <w:lang w:eastAsia="zh-CN"/>
        </w:rPr>
        <w:t>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  <w:t>，人数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  <w:t>人，内容为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开展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202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事业单位工作人员在岗线上培训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  <w:t>；拟举办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0</w:t>
      </w:r>
      <w:r>
        <w:rPr>
          <w:rFonts w:hint="eastAsia" w:eastAsia="仿宋_GB2312" w:cs="Times New Roman"/>
          <w:kern w:val="0"/>
          <w:sz w:val="32"/>
          <w:szCs w:val="32"/>
          <w:u w:val="none"/>
          <w:lang w:eastAsia="zh-CN"/>
        </w:rPr>
        <w:t>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  <w:t>节庆、晚会、论坛、赛事活动，经费预算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  <w:t>万元。</w:t>
      </w:r>
    </w:p>
    <w:p w14:paraId="1256F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  <w:u w:val="none"/>
        </w:rPr>
        <w:t>（四）政府采购情况：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  <w:t>2026年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本</w:t>
      </w:r>
      <w:r>
        <w:rPr>
          <w:rFonts w:hint="eastAsia" w:eastAsia="仿宋_GB2312" w:cs="Times New Roman"/>
          <w:sz w:val="32"/>
          <w:szCs w:val="32"/>
          <w:highlight w:val="none"/>
          <w:u w:val="none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政府采购预算总额</w:t>
      </w:r>
      <w:r>
        <w:rPr>
          <w:rFonts w:hint="eastAsia" w:eastAsia="仿宋_GB2312" w:cs="Times New Roman"/>
          <w:sz w:val="32"/>
          <w:szCs w:val="32"/>
          <w:highlight w:val="none"/>
          <w:u w:val="none"/>
          <w:lang w:val="en-US" w:eastAsia="zh-CN"/>
        </w:rPr>
        <w:t>25.338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万元，其中，货物类采购预算</w:t>
      </w:r>
      <w:r>
        <w:rPr>
          <w:rFonts w:hint="eastAsia" w:eastAsia="仿宋_GB2312" w:cs="Times New Roman"/>
          <w:sz w:val="32"/>
          <w:szCs w:val="32"/>
          <w:highlight w:val="none"/>
          <w:u w:val="none"/>
          <w:lang w:val="en-US" w:eastAsia="zh-CN"/>
        </w:rPr>
        <w:t>10.96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万元；工程类采购预算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万元；服务类采购预算</w:t>
      </w:r>
      <w:r>
        <w:rPr>
          <w:rFonts w:hint="eastAsia" w:eastAsia="仿宋_GB2312" w:cs="Times New Roman"/>
          <w:sz w:val="32"/>
          <w:szCs w:val="32"/>
          <w:highlight w:val="none"/>
          <w:u w:val="none"/>
          <w:lang w:val="en-US" w:eastAsia="zh-CN"/>
        </w:rPr>
        <w:t>14.378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万元。</w:t>
      </w:r>
    </w:p>
    <w:p w14:paraId="16CA8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eastAsia" w:ascii="Times New Roman" w:hAnsi="Times New Roman" w:eastAsia="仿宋_GB2312" w:cs="Times New Roman"/>
          <w:b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Times New Roman" w:hAnsi="Times New Roman" w:eastAsia="楷体_GB2312" w:cs="Times New Roman"/>
          <w:b/>
          <w:color w:val="auto"/>
          <w:sz w:val="32"/>
          <w:szCs w:val="32"/>
          <w:u w:val="none"/>
          <w:lang w:val="en-US" w:eastAsia="zh-CN"/>
        </w:rPr>
        <w:t>五</w:t>
      </w:r>
      <w:r>
        <w:rPr>
          <w:rFonts w:hint="eastAsia" w:ascii="Times New Roman" w:hAnsi="Times New Roman" w:eastAsia="楷体_GB2312" w:cs="Times New Roman"/>
          <w:b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Times New Roman" w:hAnsi="Times New Roman" w:eastAsia="楷体_GB2312" w:cs="Times New Roman"/>
          <w:b/>
          <w:color w:val="auto"/>
          <w:sz w:val="32"/>
          <w:szCs w:val="32"/>
          <w:u w:val="none"/>
          <w:lang w:val="en-US" w:eastAsia="zh-CN"/>
        </w:rPr>
        <w:t>委托业务费情况：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2026年本单位本级0家行政事业单位的委托业务费0万元，比上年预算持平</w:t>
      </w:r>
      <w:r>
        <w:rPr>
          <w:rFonts w:hint="eastAsia" w:eastAsia="仿宋_GB2312" w:cs="Times New Roman"/>
          <w:color w:val="auto"/>
          <w:sz w:val="32"/>
          <w:szCs w:val="32"/>
          <w:u w:val="none"/>
          <w:lang w:eastAsia="zh-CN"/>
        </w:rPr>
        <w:t>。</w:t>
      </w:r>
      <w:bookmarkStart w:id="0" w:name="_GoBack"/>
      <w:bookmarkEnd w:id="0"/>
    </w:p>
    <w:p w14:paraId="2093F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u w:val="none"/>
        </w:rPr>
        <w:t>（</w:t>
      </w:r>
      <w:r>
        <w:rPr>
          <w:rFonts w:hint="eastAsia" w:ascii="Times New Roman" w:hAnsi="Times New Roman" w:eastAsia="楷体_GB2312" w:cs="Times New Roman"/>
          <w:b/>
          <w:sz w:val="32"/>
          <w:szCs w:val="32"/>
          <w:u w:val="none"/>
          <w:lang w:val="en-US" w:eastAsia="zh-CN"/>
        </w:rPr>
        <w:t>六</w:t>
      </w:r>
      <w:r>
        <w:rPr>
          <w:rFonts w:hint="default" w:ascii="Times New Roman" w:hAnsi="Times New Roman" w:eastAsia="楷体_GB2312" w:cs="Times New Roman"/>
          <w:b/>
          <w:sz w:val="32"/>
          <w:szCs w:val="32"/>
          <w:u w:val="none"/>
        </w:rPr>
        <w:t>）国有资产占用使用及新增资产配置情况：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截至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12月底，本单位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u w:val="none"/>
        </w:rPr>
        <w:t>共有公务用车</w:t>
      </w:r>
      <w:r>
        <w:rPr>
          <w:rFonts w:hint="eastAsia" w:eastAsia="仿宋_GB2312" w:cs="Times New Roman"/>
          <w:bCs/>
          <w:kern w:val="0"/>
          <w:sz w:val="32"/>
          <w:szCs w:val="32"/>
          <w:u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u w:val="none"/>
        </w:rPr>
        <w:t>辆，其中，机要通信用车</w:t>
      </w:r>
      <w:r>
        <w:rPr>
          <w:rFonts w:hint="eastAsia" w:eastAsia="仿宋_GB2312" w:cs="Times New Roman"/>
          <w:bCs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u w:val="none"/>
        </w:rPr>
        <w:t>辆，应急保障用车</w:t>
      </w:r>
      <w:r>
        <w:rPr>
          <w:rFonts w:hint="eastAsia" w:eastAsia="仿宋_GB2312" w:cs="Times New Roman"/>
          <w:bCs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u w:val="none"/>
        </w:rPr>
        <w:t>辆，执法执勤用车</w:t>
      </w:r>
      <w:r>
        <w:rPr>
          <w:rFonts w:hint="eastAsia" w:eastAsia="仿宋_GB2312" w:cs="Times New Roman"/>
          <w:bCs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u w:val="none"/>
        </w:rPr>
        <w:t>辆，特种专业技术用车</w:t>
      </w:r>
      <w:r>
        <w:rPr>
          <w:rFonts w:hint="eastAsia" w:eastAsia="仿宋_GB2312" w:cs="Times New Roman"/>
          <w:bCs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u w:val="none"/>
        </w:rPr>
        <w:t>辆，其他按照规定配备的公务用车</w:t>
      </w:r>
      <w:r>
        <w:rPr>
          <w:rFonts w:hint="eastAsia" w:eastAsia="仿宋_GB2312" w:cs="Times New Roman"/>
          <w:bCs/>
          <w:kern w:val="0"/>
          <w:sz w:val="32"/>
          <w:szCs w:val="32"/>
          <w:u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u w:val="none"/>
        </w:rPr>
        <w:t>辆；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u w:val="none"/>
        </w:rPr>
        <w:t>单位价值50万元以上通用设备</w:t>
      </w:r>
      <w:r>
        <w:rPr>
          <w:rFonts w:hint="eastAsia" w:eastAsia="仿宋_GB2312" w:cs="Times New Roman"/>
          <w:bCs/>
          <w:kern w:val="0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u w:val="none"/>
        </w:rPr>
        <w:t>台，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u w:val="none"/>
        </w:rPr>
        <w:t>单位价值100万元以上专用设备</w:t>
      </w:r>
      <w:r>
        <w:rPr>
          <w:rFonts w:hint="eastAsia" w:eastAsia="仿宋_GB2312" w:cs="Times New Roman"/>
          <w:bCs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u w:val="none"/>
        </w:rPr>
        <w:t>台。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u w:val="none"/>
          <w:lang w:eastAsia="zh-CN"/>
        </w:rPr>
        <w:t>2026年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u w:val="none"/>
        </w:rPr>
        <w:t>拟新增配置公务用车</w:t>
      </w:r>
      <w:r>
        <w:rPr>
          <w:rFonts w:hint="eastAsia" w:eastAsia="仿宋_GB2312" w:cs="Times New Roman"/>
          <w:bCs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u w:val="none"/>
        </w:rPr>
        <w:t>辆，其中，机要通信用车</w:t>
      </w:r>
      <w:r>
        <w:rPr>
          <w:rFonts w:hint="eastAsia" w:eastAsia="仿宋_GB2312" w:cs="Times New Roman"/>
          <w:bCs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u w:val="none"/>
        </w:rPr>
        <w:t>辆，应急保障用车</w:t>
      </w:r>
      <w:r>
        <w:rPr>
          <w:rFonts w:hint="eastAsia" w:eastAsia="仿宋_GB2312" w:cs="Times New Roman"/>
          <w:bCs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u w:val="none"/>
        </w:rPr>
        <w:t>辆，执法执勤用车</w:t>
      </w:r>
      <w:r>
        <w:rPr>
          <w:rFonts w:hint="eastAsia" w:eastAsia="仿宋_GB2312" w:cs="Times New Roman"/>
          <w:bCs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u w:val="none"/>
        </w:rPr>
        <w:t>辆，特种专业技术用车</w:t>
      </w:r>
      <w:r>
        <w:rPr>
          <w:rFonts w:hint="eastAsia" w:eastAsia="仿宋_GB2312" w:cs="Times New Roman"/>
          <w:bCs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u w:val="none"/>
        </w:rPr>
        <w:t>辆，其他按照规定配备的公务用车</w:t>
      </w:r>
      <w:r>
        <w:rPr>
          <w:rFonts w:hint="eastAsia" w:eastAsia="仿宋_GB2312" w:cs="Times New Roman"/>
          <w:bCs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u w:val="none"/>
        </w:rPr>
        <w:t>辆；新增配备单位价值50万元以上通用设备</w:t>
      </w:r>
      <w:r>
        <w:rPr>
          <w:rFonts w:hint="eastAsia" w:eastAsia="仿宋_GB2312" w:cs="Times New Roman"/>
          <w:bCs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u w:val="none"/>
        </w:rPr>
        <w:t>台，单位价值100万元以上专用设备</w:t>
      </w:r>
      <w:r>
        <w:rPr>
          <w:rFonts w:hint="eastAsia" w:eastAsia="仿宋_GB2312" w:cs="Times New Roman"/>
          <w:bCs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u w:val="none"/>
        </w:rPr>
        <w:t>台。</w:t>
      </w:r>
    </w:p>
    <w:p w14:paraId="6A86E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u w:val="none"/>
        </w:rPr>
        <w:t>（</w:t>
      </w:r>
      <w:r>
        <w:rPr>
          <w:rFonts w:hint="eastAsia" w:ascii="Times New Roman" w:hAnsi="Times New Roman" w:eastAsia="楷体_GB2312" w:cs="Times New Roman"/>
          <w:b/>
          <w:bCs/>
          <w:kern w:val="0"/>
          <w:sz w:val="32"/>
          <w:szCs w:val="32"/>
          <w:u w:val="none"/>
          <w:lang w:val="en-US" w:eastAsia="zh-CN"/>
        </w:rPr>
        <w:t>七</w:t>
      </w: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u w:val="none"/>
        </w:rPr>
        <w:t>）预算绩效目标说明：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u w:val="none"/>
        </w:rPr>
        <w:t>本单位所有支出实行绩效目标管理。纳入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u w:val="none"/>
          <w:lang w:eastAsia="zh-CN"/>
        </w:rPr>
        <w:t>2026年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u w:val="none"/>
        </w:rPr>
        <w:t>单位整体支出绩效目标的金额为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670.62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u w:val="none"/>
        </w:rPr>
        <w:t>万元，其中，基本支出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531.80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u w:val="none"/>
        </w:rPr>
        <w:t>万元，项目支出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138.82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u w:val="none"/>
        </w:rPr>
        <w:t>万元，具体绩效目标详见报表。</w:t>
      </w:r>
    </w:p>
    <w:p w14:paraId="70205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七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、名词解释</w:t>
      </w:r>
    </w:p>
    <w:p w14:paraId="05BF0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、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14:paraId="38454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、“三公”经费：纳入省（市/县）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 w14:paraId="075D987B">
      <w:pPr>
        <w:widowControl/>
        <w:spacing w:line="600" w:lineRule="exact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sectPr>
          <w:footerReference r:id="rId3" w:type="default"/>
          <w:pgSz w:w="11907" w:h="16840"/>
          <w:pgMar w:top="1134" w:right="1797" w:bottom="1304" w:left="1797" w:header="851" w:footer="992" w:gutter="0"/>
          <w:pgNumType w:fmt="decimal"/>
          <w:cols w:space="720" w:num="1"/>
          <w:docGrid w:type="linesAndChars" w:linePitch="495" w:charSpace="-594"/>
        </w:sectPr>
      </w:pPr>
    </w:p>
    <w:p w14:paraId="08845757"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bCs/>
          <w:kern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Cs/>
          <w:kern w:val="0"/>
          <w:sz w:val="36"/>
          <w:szCs w:val="36"/>
        </w:rPr>
        <w:t>第二部分</w:t>
      </w:r>
      <w:r>
        <w:rPr>
          <w:rFonts w:hint="eastAsia" w:ascii="Times New Roman" w:hAnsi="Times New Roman" w:eastAsia="方正小标宋_GBK" w:cs="Times New Roman"/>
          <w:bCs/>
          <w:kern w:val="0"/>
          <w:sz w:val="36"/>
          <w:szCs w:val="36"/>
          <w:lang w:eastAsia="zh-CN"/>
        </w:rPr>
        <w:t>2026年</w:t>
      </w:r>
      <w:r>
        <w:rPr>
          <w:rFonts w:hint="default" w:ascii="Times New Roman" w:hAnsi="Times New Roman" w:eastAsia="方正小标宋_GBK" w:cs="Times New Roman"/>
          <w:bCs/>
          <w:kern w:val="0"/>
          <w:sz w:val="36"/>
          <w:szCs w:val="36"/>
        </w:rPr>
        <w:t>单位预算表</w:t>
      </w:r>
    </w:p>
    <w:p w14:paraId="0F3CC82E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 w14:paraId="7FDFFC88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 w14:paraId="2EA3DD67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 w14:paraId="68A67047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 w14:paraId="6D83E469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 w14:paraId="412F4644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 w14:paraId="56F2BBC0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 w14:paraId="495B3B10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 w14:paraId="05DFDAFA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 w14:paraId="70DC1C9C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 w14:paraId="7792B938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 w14:paraId="3F48F0F4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 w14:paraId="05C6CEA2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 w14:paraId="092BE7BA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 w14:paraId="78CB9336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 w14:paraId="14491777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 w14:paraId="07135431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 w14:paraId="31B807E5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 w14:paraId="353EE9C9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 w14:paraId="7883FE4A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 w14:paraId="25B83B26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 w14:paraId="6D296A5E"/>
    <w:sectPr>
      <w:pgSz w:w="11907" w:h="16840"/>
      <w:pgMar w:top="1417" w:right="1587" w:bottom="1417" w:left="1587" w:header="851" w:footer="992" w:gutter="0"/>
      <w:pgNumType w:fmt="decimal"/>
      <w:cols w:space="720" w:num="1"/>
      <w:docGrid w:type="linesAndChars" w:linePitch="495" w:charSpace="-5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1F65F75-72AD-4383-AC16-7845A33D72B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51465BB4-9A04-4F94-8157-A915CF9C5FED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F5EBA659-176F-4658-94AC-8FBFE392573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8BCA2E4-7F24-423A-99E5-C5774A4764D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AB445F3F-4DCC-4201-8C8F-4A5DBA59FDA5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BE693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3E146E">
                          <w:pPr>
                            <w:pStyle w:val="3"/>
                            <w:rPr>
                              <w:rStyle w:val="8"/>
                            </w:rPr>
                          </w:pPr>
                          <w:r>
                            <w:rPr>
                              <w:rStyle w:val="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</w:rPr>
                            <w:instrText xml:space="preserve">PAGE  </w:instrText>
                          </w:r>
                          <w:r>
                            <w:rPr>
                              <w:rStyle w:val="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</w:rPr>
                            <w:t>2</w:t>
                          </w:r>
                          <w:r>
                            <w:rPr>
                              <w:rStyle w:val="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3E146E">
                    <w:pPr>
                      <w:pStyle w:val="3"/>
                      <w:rPr>
                        <w:rStyle w:val="8"/>
                      </w:rPr>
                    </w:pPr>
                    <w:r>
                      <w:rPr>
                        <w:rStyle w:val="8"/>
                      </w:rPr>
                      <w:fldChar w:fldCharType="begin"/>
                    </w:r>
                    <w:r>
                      <w:rPr>
                        <w:rStyle w:val="8"/>
                      </w:rPr>
                      <w:instrText xml:space="preserve">PAGE  </w:instrText>
                    </w:r>
                    <w:r>
                      <w:rPr>
                        <w:rStyle w:val="8"/>
                      </w:rPr>
                      <w:fldChar w:fldCharType="separate"/>
                    </w:r>
                    <w:r>
                      <w:rPr>
                        <w:rStyle w:val="8"/>
                      </w:rPr>
                      <w:t>2</w:t>
                    </w:r>
                    <w:r>
                      <w:rPr>
                        <w:rStyle w:val="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505146"/>
    <w:rsid w:val="06CD0ABC"/>
    <w:rsid w:val="0B756CA4"/>
    <w:rsid w:val="0D6348DC"/>
    <w:rsid w:val="0FBC52D8"/>
    <w:rsid w:val="152D3D3D"/>
    <w:rsid w:val="1D3A00CA"/>
    <w:rsid w:val="273C404C"/>
    <w:rsid w:val="2C494727"/>
    <w:rsid w:val="32235FC4"/>
    <w:rsid w:val="32B42EBC"/>
    <w:rsid w:val="33576B0C"/>
    <w:rsid w:val="34BA0108"/>
    <w:rsid w:val="34FB225A"/>
    <w:rsid w:val="38774062"/>
    <w:rsid w:val="3BA232D4"/>
    <w:rsid w:val="3C505146"/>
    <w:rsid w:val="3EC15781"/>
    <w:rsid w:val="474613F4"/>
    <w:rsid w:val="4B8D2F5C"/>
    <w:rsid w:val="4BE64A79"/>
    <w:rsid w:val="54001829"/>
    <w:rsid w:val="56D93397"/>
    <w:rsid w:val="584E7EE8"/>
    <w:rsid w:val="59154E95"/>
    <w:rsid w:val="5CE60816"/>
    <w:rsid w:val="63206541"/>
    <w:rsid w:val="674B4F7F"/>
    <w:rsid w:val="6C174EE2"/>
    <w:rsid w:val="73895840"/>
    <w:rsid w:val="7ED3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2660</Words>
  <Characters>2903</Characters>
  <Lines>0</Lines>
  <Paragraphs>0</Paragraphs>
  <TotalTime>0</TotalTime>
  <ScaleCrop>false</ScaleCrop>
  <LinksUpToDate>false</LinksUpToDate>
  <CharactersWithSpaces>2903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2026-03-17T01:30:00Z</dcterms:created>
  <dc:creator>Administrator</dc:creator>
  <cp:lastModifiedBy>Administrator</cp:lastModifiedBy>
  <dcterms:modified xsi:type="dcterms:W3CDTF">2026-03-24T14:10:58Z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E37C30BAFAEE462794BE65C220E11A34_13</vt:lpwstr>
  </property>
  <property fmtid="{D5CDD505-2E9C-101B-9397-08002B2CF9AE}" pid="4" name="KSOTemplateDocerSaveRecord">
    <vt:lpwstr>eyJoZGlkIjoiOGVhYzQyODhkMGEyMjVhZTQ0MWVlOTNhNmZiNGY4ZDIiLCJ1c2VySWQiOiIxMTk3OTQ4MTEyIn0=</vt:lpwstr>
  </property>
</Properties>
</file>